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715" w:rsidRDefault="00944E09">
      <w:pPr>
        <w:spacing w:after="0" w:line="264" w:lineRule="auto"/>
        <w:ind w:right="514"/>
        <w:jc w:val="right"/>
      </w:pPr>
      <w:r>
        <w:rPr>
          <w:noProof/>
        </w:rPr>
        <mc:AlternateContent>
          <mc:Choice Requires="wpg">
            <w:drawing>
              <wp:anchor distT="0" distB="0" distL="113665" distR="113665" simplePos="0" relativeHeight="4" behindDoc="0" locked="0" layoutInCell="0" allowOverlap="1" wp14:anchorId="3E5353C3">
                <wp:simplePos x="0" y="0"/>
                <wp:positionH relativeFrom="column">
                  <wp:posOffset>48895</wp:posOffset>
                </wp:positionH>
                <wp:positionV relativeFrom="paragraph">
                  <wp:posOffset>-10795</wp:posOffset>
                </wp:positionV>
                <wp:extent cx="1363980" cy="1223645"/>
                <wp:effectExtent l="0" t="0" r="0" b="0"/>
                <wp:wrapSquare wrapText="bothSides"/>
                <wp:docPr id="1" name="Group 26486"/>
                <wp:cNvGraphicFramePr/>
                <a:graphic xmlns:a="http://schemas.openxmlformats.org/drawingml/2006/main">
                  <a:graphicData uri="http://schemas.microsoft.com/office/word/2010/wordprocessingGroup">
                    <wpg:wgp>
                      <wpg:cNvGrpSpPr/>
                      <wpg:grpSpPr>
                        <a:xfrm>
                          <a:off x="0" y="0"/>
                          <a:ext cx="1364040" cy="1223640"/>
                          <a:chOff x="0" y="0"/>
                          <a:chExt cx="1364040" cy="1223640"/>
                        </a:xfrm>
                      </wpg:grpSpPr>
                      <wps:wsp>
                        <wps:cNvPr id="2" name="Rectangle 28"/>
                        <wps:cNvSpPr/>
                        <wps:spPr>
                          <a:xfrm>
                            <a:off x="0" y="483840"/>
                            <a:ext cx="51480" cy="207720"/>
                          </a:xfrm>
                          <a:prstGeom prst="rect">
                            <a:avLst/>
                          </a:prstGeom>
                          <a:noFill/>
                          <a:ln w="0">
                            <a:noFill/>
                          </a:ln>
                        </wps:spPr>
                        <wps:style>
                          <a:lnRef idx="0">
                            <a:scrgbClr r="0" g="0" b="0"/>
                          </a:lnRef>
                          <a:fillRef idx="0">
                            <a:scrgbClr r="0" g="0" b="0"/>
                          </a:fillRef>
                          <a:effectRef idx="0">
                            <a:scrgbClr r="0" g="0" b="0"/>
                          </a:effectRef>
                          <a:fontRef idx="minor"/>
                        </wps:style>
                        <wps:txbx>
                          <w:txbxContent>
                            <w:p w:rsidR="00C76715" w:rsidRDefault="00944E09">
                              <w:pPr>
                                <w:spacing w:after="160" w:line="259" w:lineRule="auto"/>
                                <w:ind w:left="0" w:firstLine="0"/>
                                <w:jc w:val="left"/>
                              </w:pPr>
                              <w:r>
                                <w:rPr>
                                  <w:b/>
                                </w:rPr>
                                <w:t xml:space="preserve"> </w:t>
                              </w:r>
                            </w:p>
                          </w:txbxContent>
                        </wps:txbx>
                        <wps:bodyPr lIns="0" tIns="0" rIns="0" bIns="0" anchor="t">
                          <a:noAutofit/>
                        </wps:bodyPr>
                      </wps:wsp>
                      <wps:wsp>
                        <wps:cNvPr id="3" name="Rectangle 29"/>
                        <wps:cNvSpPr/>
                        <wps:spPr>
                          <a:xfrm>
                            <a:off x="0" y="647640"/>
                            <a:ext cx="51480" cy="207000"/>
                          </a:xfrm>
                          <a:prstGeom prst="rect">
                            <a:avLst/>
                          </a:prstGeom>
                          <a:noFill/>
                          <a:ln w="0">
                            <a:noFill/>
                          </a:ln>
                        </wps:spPr>
                        <wps:style>
                          <a:lnRef idx="0">
                            <a:scrgbClr r="0" g="0" b="0"/>
                          </a:lnRef>
                          <a:fillRef idx="0">
                            <a:scrgbClr r="0" g="0" b="0"/>
                          </a:fillRef>
                          <a:effectRef idx="0">
                            <a:scrgbClr r="0" g="0" b="0"/>
                          </a:effectRef>
                          <a:fontRef idx="minor"/>
                        </wps:style>
                        <wps:txbx>
                          <w:txbxContent>
                            <w:p w:rsidR="00C76715" w:rsidRDefault="00944E09">
                              <w:pPr>
                                <w:spacing w:after="160" w:line="259" w:lineRule="auto"/>
                                <w:ind w:left="0" w:firstLine="0"/>
                                <w:jc w:val="left"/>
                              </w:pPr>
                              <w:r>
                                <w:t xml:space="preserve"> </w:t>
                              </w:r>
                            </w:p>
                          </w:txbxContent>
                        </wps:txbx>
                        <wps:bodyPr lIns="0" tIns="0" rIns="0" bIns="0" anchor="t">
                          <a:noAutofit/>
                        </wps:bodyPr>
                      </wps:wsp>
                      <wps:wsp>
                        <wps:cNvPr id="4" name="Rectangle 30"/>
                        <wps:cNvSpPr/>
                        <wps:spPr>
                          <a:xfrm>
                            <a:off x="0" y="821520"/>
                            <a:ext cx="51480" cy="207000"/>
                          </a:xfrm>
                          <a:prstGeom prst="rect">
                            <a:avLst/>
                          </a:prstGeom>
                          <a:noFill/>
                          <a:ln w="0">
                            <a:noFill/>
                          </a:ln>
                        </wps:spPr>
                        <wps:style>
                          <a:lnRef idx="0">
                            <a:scrgbClr r="0" g="0" b="0"/>
                          </a:lnRef>
                          <a:fillRef idx="0">
                            <a:scrgbClr r="0" g="0" b="0"/>
                          </a:fillRef>
                          <a:effectRef idx="0">
                            <a:scrgbClr r="0" g="0" b="0"/>
                          </a:effectRef>
                          <a:fontRef idx="minor"/>
                        </wps:style>
                        <wps:txbx>
                          <w:txbxContent>
                            <w:p w:rsidR="00C76715" w:rsidRDefault="00944E09">
                              <w:pPr>
                                <w:spacing w:after="160" w:line="259" w:lineRule="auto"/>
                                <w:ind w:left="0" w:firstLine="0"/>
                                <w:jc w:val="left"/>
                              </w:pPr>
                              <w:r>
                                <w:t xml:space="preserve"> </w:t>
                              </w:r>
                            </w:p>
                          </w:txbxContent>
                        </wps:txbx>
                        <wps:bodyPr lIns="0" tIns="0" rIns="0" bIns="0" anchor="t">
                          <a:noAutofit/>
                        </wps:bodyPr>
                      </wps:wsp>
                      <pic:pic xmlns:pic="http://schemas.openxmlformats.org/drawingml/2006/picture">
                        <pic:nvPicPr>
                          <pic:cNvPr id="5" name="Picture 109"/>
                          <pic:cNvPicPr/>
                        </pic:nvPicPr>
                        <pic:blipFill>
                          <a:blip r:embed="rId8"/>
                          <a:stretch/>
                        </pic:blipFill>
                        <pic:spPr>
                          <a:xfrm>
                            <a:off x="0" y="0"/>
                            <a:ext cx="1364040" cy="1223640"/>
                          </a:xfrm>
                          <a:prstGeom prst="rect">
                            <a:avLst/>
                          </a:prstGeom>
                          <a:ln w="0">
                            <a:noFill/>
                          </a:ln>
                        </pic:spPr>
                      </pic:pic>
                    </wpg:wgp>
                  </a:graphicData>
                </a:graphic>
              </wp:anchor>
            </w:drawing>
          </mc:Choice>
          <mc:Fallback>
            <w:pict>
              <v:group w14:anchorId="3E5353C3" id="Group 26486" o:spid="_x0000_s1026" style="position:absolute;left:0;text-align:left;margin-left:3.85pt;margin-top:-.85pt;width:107.4pt;height:96.35pt;z-index:4;mso-wrap-distance-left:8.95pt;mso-wrap-distance-right:8.95pt" coordsize="13640,1223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VzNfU3AwAAuwwAAA4AAABkcnMvZTJvRG9jLnhtbOxX227bMAx9H7B/&#10;EPze2nHSNDOaFMO6FgOGrWi3D1AU2RYmS4KkxMnfj5QvWZpeU2wPQx/q6kaKPDwimbPzdSXJilsn&#10;tJpGg+MkIlwxvRCqmEY/f1weTSLiPFULKrXi02jDXXQ+e//urDYZT3Wp5YJbAkqUy2ozjUrvTRbH&#10;jpW8ou5YG65gM9e2oh6mtogXltagvZJxmiTjuNZ2Yaxm3DlYvWg2o1nQn+ec+e957rgnchqBbT58&#10;bfjO8RvPzmhWWGpKwVoz6AFWVFQouLRXdUE9JUsr9lRVglntdO6Pma5ineeC8eADeDNI7nhzZfXS&#10;BF+KrC5MDxNAeweng9Wyb6trS8QCYhcRRSsIUbiVpOPRZIzw1KbI4NSVNbfm2rYLRTNDj9e5rfA/&#10;+ELWAdhNDyxfe8JgcTAcj5IR4M9gb5CmOG2gZyXEZ0+OlZ+fkIy7i2O0rzenNkAjt0XKvQ6p25Ia&#10;HgLgEIMWqbRD6gboRVUhOUknDVThWI+TyxxA9iBIo8lw0uHQIXUyGE1anNLk9DQNMPXO0sxY56+4&#10;rggOppEFCwLv6Oqr8xAcONodwXuVvhRSBpJLRWoMzM4yHJcKpBC3xtYw8hvJ8ZxUNzwHdoS44oJj&#10;tph/kpY0TwiICMZ2DykoAwE8mMO1L5RtRVCah5f7QvleKNyvle/lK6G0xQA1fjbeoaN+PV8HRrts&#10;rhcbiK/8ooAzmCm6ge0G825AFSs1ANAgr/THpde5COij0kZTexmQEZ/QP2Dl8B5WfjiAlePRaf86&#10;72dlkryx8tkv4kBWtin5fyHnaJ+cw0AifBqQWZ+bMifp4KTJiZAk2hKxmzLfyPmCdP0acqZdbvmb&#10;mdMIlsFf2/nAaK+eP90hgpRfWh61Sqpn6aio/bU0R9CkGerFXEjhN6HhhPqJRqnVtWBY23GybQ1O&#10;Op7DLl5KBknIwd0plME6hPMdFXMpDJZqrF04bo2FKnOn07vH36aLvNBsWXHlm7bYcgl2a+VKYVxE&#10;bMarOYcuz35ZDDBwUMq95Z6VnTVbA9C2R/uWtnXr3t9Dzd3hXcujrcrWvIAiTEOpDR0yjHZa8D/n&#10;4dT2N8fsNwA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DBBQABgAIAAAAIQBWoEHw3wAAAAgBAAAPAAAA&#10;ZHJzL2Rvd25yZXYueG1sTI/BSsNAEIbvgu+wjOCt3WykVmM2pRT1VARbQbxts9MkNDsbstskfXvH&#10;kz0Nw//xzzf5anKtGLAPjScNap6AQCq9bajS8LV/mz2BCNGQNa0n1HDBAKvi9iY3mfUjfeKwi5Xg&#10;EgqZ0VDH2GVShrJGZ8Lcd0icHX3vTOS1r6TtzcjlrpVpkjxKZxriC7XpcFNjedqdnYb30YzrB/U6&#10;bE/HzeVnv/j43irU+v5uWr+AiDjFfxj+9FkdCnY6+DPZIFoNyyWDGmaKJ8dpmi5AHJh7VgnIIpfX&#10;DxS/AAAA//8DAFBLAwQKAAAAAAAAACEAYXxrcqdAAACnQAAAFQAAAGRycy9tZWRpYS9pbWFnZTEu&#10;anBlZ//Y/+AAEEpGSUYAAQEBANwA3AAA/9sAQwADAgIDAgIDAwMDBAMDBAUIBQUEBAUKBwcGCAwK&#10;DAwLCgsLDQ4SEA0OEQ4LCxAWEBETFBUVFQwPFxgWFBgSFBUU/9sAQwEDBAQFBAUJBQUJFA0LDRQU&#10;FBQUFBQUFBQUFBQUFBQUFBQUFBQUFBQUFBQUFBQUFBQUFBQUFBQUFBQUFBQUFBQU/8AAEQgBJwFI&#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VCiiigAooooAKKKKACiiigAooooAKKKKACiiigAooooAKKKKACiiigAooooAKKKKACiiigAoooo&#10;AKKKKACiiigAooooAKKKKACiiigAooooAKKKKACiiigAooooAKKKKACiiigAooooAKKKKACiiigA&#10;ooooAKKKKACiiigAooooAKKKKACiiigAooooAKKKKACiiigAooooAKKKKACiiigAooooAKKKKACi&#10;iigAooooAyvEHiDT/Cmh3usatdR2OmWcTTXFzMfkjRf4jXmH/DYXwa/6KHpP/fbf/E1b/at/5Nv+&#10;In/YFuP/AECvxQr3sty2OOjKUpWscGIxEqMj9pP+Gwvgz/0UPSf++2/+Jo/4bC+DP/RQ9J/77b/4&#10;mvxbor2f9X6P85yfXpfyn7Sf8NhfBn/ooek/99t/8TR/w2F8Gf8Aooek/wDfbf8AxNfi3RR/q/R/&#10;nD69L+U/a3w/+1B8MPFWqwaVovjC01jVLjf5NjYRyzzSbULtsRELN8qs1erowZN3zV88fsf/ALMd&#10;l+z54Fhub2Hd431iBJdWuJmRvIz832VNvy7U/iZfvv8AN93YqfRVfHV4041OWl8J69Pm5feKk8i2&#10;8bSndtjTcQoLN/3zXmt7+0j8OdLv7iyuvFWn29zbyNFPDNLteJ1+8jL/AAtXp0ytNE6B2R2X7y/w&#10;1+Yn7Yfg3UfCvxq1a51LVLfUpdX/ANNgWKNopYID+6iRvl2/wsvys27ytzbd1eTjcTUw9Lnifb8J&#10;5Lhc/wAf9SxM+S690+7f+Gofhd/0Oemf9/hR/wANQ/C7/oc9M/7/AAr8oqK+f/tmt/Kftn/EJ8B/&#10;0ES/8lP1e/4ah+Fv/Q56Z/39FH/DUPwt/wChz0z/AL+ivyhoprOK1/hMqvhTgKdN1PrEtP8ACftk&#10;DujBHSlqGz/484P9wfyqavrz+ZXo7BRRRQIKKKKACiiigAooooAKKKKACiiigAooooAKKKKACiii&#10;gAooooAKKKKACiiigAooooA8o/as/wCTb/iL/wBgW4/9Br8Tq/bH9qz/AJNv+Iv/AGBbj/0GvxOr&#10;7fh/+HM8fHfFEKKK1/DPhm58UX00MEkNvb28X2i81C6dkt7ODcqvLK67vl+ZF2LuZmdFVWZlVvqJ&#10;yjCHPM8oyKt6Vqt5oOrWWpafcyWeoWc63FrcRN88UqvvR0/4HX178C/hvoXxY8K39r4C8NW3ibRv&#10;DbR/21our3L6Xq/iRp4pX3PdRblggSeKLyrVZWT907Stu2NUs/gP4CaLZ3Hh/wCKXw68ZfBrWZJr&#10;loNYkup76CVUlX91BKiMku1ZQm7ym+VV/euz7m8KpmsOZw5DqhQl8R+lGi6xZ65o9jqVhcx3en3k&#10;Kz21xF9yWN13Iy/8BrTryX9mnTNL0n4P6NF4f1fxHrHh1t/9lTeKAnnrZhtkWzYiHyGVBLHv+bZK&#10;n3V2ovrVfn8lyysfQx+EqXTSLDIYVV5dnyqW2qzf71fA37cdzceKLXwf4jfQzp6pcX2mtfhWYzLE&#10;8W1XZkRk+f7VtRvm+Vmr9Ad3QV82/txeItM0f4Mi3vtFj1mS/vEtbdppNhtJfKldbhfl+8uz7vy/&#10;e615+PjGWGlFn2XCGJqYTO8LVpR5nzfnofnDRRRX51qf3IFFFFXT3MMR/CmftbZ/8esP+4P5VNUN&#10;n/x6w/7g/lU1fp62P886m7CiiimIKKKKACiiigAooooAKKKKACiiigAooooAKKKKACiiigAooooA&#10;KKKKACiiigAooooA8m/at/5Nv+In/YFuP/QK/FCv3K+NvgzUPiN8KPFHhfTJIIdQ1fT5bSGS6Zli&#10;RnXGW2q3H4V+e3/Dr34q/wDQe8If+Bl1/wDItfVZNjKGFpzjVlueXi6Upy90+PqK+v8A/h158Vv+&#10;g74Q/wDAy6/+RaP+HXnxW/6DvhD/AMDLr/5Fr6L+1cH/ADHB9Xq/ynJ2fxb+MvwN+HHhq68MW1l8&#10;PPB+sKZNOt0js7i61Ru95Kk+6d2dFX96qLFt8raiqybvUfAngy61TWNW1v8AaG8W6BrHizTryObS&#10;vB3jLxpFZ29v5m2WWWWKLzfKVl8rbFsVWXfvTbtrP1T/AIJ2/G/W7i4n1Lxp4f1KW6lilna61W8m&#10;814k2xO+63+bYrOi/wB1Wrufhb/wTTmutcn1v4teJ/7YuJbrz3sdHnlf7U29WZ57qRVkbf8AMrKq&#10;K38Xm5r5+vXw3LdSX/bq947KdOrzfCe5fBX45TfFXW7vTPAltJq/hHTrn/SvE91Y/YNNtogkRhsL&#10;C3/1sr+Vne0rL5bfN9x4oq+ia5jwX4N0fwD4csPD+g2EOlaPYRCKC0hHyovJ78sxJLMzZZmbc1dP&#10;Xy85RlL3T1I832j5P/aF/bKk+FPjxPC+jaPb6rJZmOTUpriV02qy7vKTC/e2vE2/5l+bbtr5i/aK&#10;/aNm/aAbQS+h/wBhJpXn/ILvz/N83yv9lfu7f/Hq+pfj9+xfB8VvEWq+KdI16TTdbvFV3truPday&#10;Msaoi/L88edibm+b/drwxv8Agn58SFXI1Dw63sLqfP8A6Ir5TGxx1WUoL4D+g+FcVwfgaNDFVZcu&#10;Ih/NzfF+R8z0V9Lf8O/fiV/z++Hv/Aqb/wCMUf8ADv34lf8AP74e/wDAqb/4xXkf2fif5T9Y/wBe&#10;OH/+glfcz5por6W/4d+/Er/n98Pf+BU3/wAYqQf8E/PiT/z/APh0fW6m/wDjFNZfib/CY1+N+H5U&#10;2liV9zP0Ts/+PSH/AHB/Kpqihj8mGNP7iY/Spa+9P4unuwooooEFFFFABRRRQAUUUUAFFFFABRRR&#10;QAUUUUAFFFFABRRRQAUUUUAFFFFABRRRQAUUUUAFFFFABRRRQAUUUUAFFFFABRRRQAUUUUAFFFFA&#10;BRWD4c8a+H/F6XraBrWm64LGdrW5Om3cdx5Ey/eifa3yv/smt6gAooooAKKK86+OXwZ8OfHz4eX3&#10;hHxNa+daXHzw3Cj97ZTr9y4ib+F1z/wJWZW+VmoA9For4A/Yv+Dvx2/ZT+I+teFdV8GnxF8NNXvv&#10;m1az1W1T7NKuUS9ige43bXTb5qFfN2qm3d5W1/v+gAooooAKKKKACiiigAooooAKKKKACiiigAoo&#10;ooAKKKKACiiigAooooA8z/aa/wCTbfir/wBilq3/AKRy1+EHw38faz8LPHmheLvD8/2bVdGukuoG&#10;3OiNt+/E+11Zldd6sn8Su61+7/7TX/JtvxV/7FLVv/SOWvyF/ZH/AGe4P2kNL+KHh+COP/hIrXRY&#10;tQ0W4m/5ZXS3C/J99PklTfF8/wAq7t2xtqUFH7D/AAX+Kum/HD4WeGfG+lIYbTV7bzjb4c+RMr7J&#10;Yt7Iu7ZKrpu2/Nt3LxX45ftv/tKH9pT4yT3+mzSnwho6fYNFjPmqskW/57ra33Xlf/ZVtqRKy7kr&#10;l/Bv7QXxB+Cnw9+IXwutNum6f4iZ7XVbPUbVvtFg/wA8VwqK7bYnZP3Uu5Wb5V27WXdXq3hT9mP/&#10;AIRr9hX4k/FnxRpQj1jVf7Ni8OreQ4eCz+32u+6T5vl83dtT5VbYnyuyz0En1H/wR/8A+SU+O/8A&#10;sNRf+k6V5v8A8Fhv+R0+Gn/YOvf/AEbFXpH/AAR//wCSU+O/+w1F/wCk6V5v/wAFhv8AkdPhp/2D&#10;r3/0bFQB98fsy/8AJtvwq/7FLSf/AEiir8cP25/+TtviV/2EV/8ARSV+x/7Mv/Jtvwq/7FLSf/SK&#10;Kvy0+LVrBqH/AAU6itriGO5tJvHOkxSRSrvRkeW33qy0AfR3/BL79qEeJ/Dkvwm8Taora1pKb/D7&#10;XVwfNurMLl7dA3/PDaWVd3+qf5UVIq9y/wCCj/8AyZn8Qfrp3/pyta/OH9pj4R+I/wBiH9pG01jw&#10;jdz6bp8s76v4Z1C3SXbBFvffZOzbvNaJP3TLubfE6b/9bsr7W/af+NGhfHz/AIJz+KvGWhzRFbyH&#10;TY7yzhlMr2F0L+1823f5FyyMf7q7l2v91loKPNf+CNn/ADV3/uEf+3tH/BZP/mkX/cX/APbKj/gj&#10;Z/zV3/uEf+3tH/BZP/mkX/cX/wDbKgk+kv8AgnD/AMmZfD366j/6crqvz/8A2wvjN41/ae/aUf4X&#10;W91Fp2iad4m/4R3SNN89/s73X2j7L9quGVfmZn/2f3SvtX+N3/QD/gnD/wAmZfD366j/AOnK6r4D&#10;/bL/AGeviH+zz8ftV+KWkRz3uh3mtN4k0/xDa2fmxabcNdeasVwjbliZZXRU3fJL8n8W5VAM74pf&#10;8E+fjJ+z74Xfx7Fe6XqsWhyx3Us3hm9n+3WCp832r5oovliZfvo25PvfdVmX7d+AsPxs+Kf7F/jL&#10;w/8AEPSWi8Q32h32laDdalP5WoX6SWjpE10jD5G3MF8123Oo3Mv/AC1l8b/Z/wD+Csi7NP0b4uaM&#10;2fkhbxRo6cf8sl82e1/7+yu8X+6kVforoHiHTPFWjWur6NqFtqul3SebBe2U6ywyr/eRl+9QB+N/&#10;/Dsf4+f9C5p//g4t/wD4uvn74XfDHXvjF480zwh4Yto7zXdS837LDNKkSN5UTyv87/7CNX9E1fiH&#10;/wAE4/8Ak8z4efXUf/TbdUAelfBX/gnn8bPBHxk8B+IdW0Gwh0zSdfsdQvHj1OB3WKK4RnbaG+b5&#10;Vr0r/gsn/wA0i/7i/wD7ZV+lFfmv/wAFk/8AmkX/AHF//bKgD57+C3/BOr4kfHj4Z6L450HWfC9n&#10;pOqeb5Eep3l0twnlStEwdFt3X70TfxV9f/sN/sOePf2ZfixqfifxNqvh2+0+70OXTI4tJup5ZRK9&#10;xBLu/ewJ8u2JhXzv+zn/AMFKv+Gf/gz4d8Bf8K6Ovf2T9o/4mH9u/Z/M824ln+59nfb/AK3b97+G&#10;v0A/ZJ/aV/4am+GupeLB4c/4Rk2erS6WLT7d9rLbIYpd+/yk/wCev3dv8NAHxH/wWB/5KZ8P/wDs&#10;ETf+jq838Mf8E1/jFr3w90Tx14c1Dw9d/wBpafa6vYWVvqMsV7tlRJUT5oliRk3/APPX/gVekf8A&#10;BYH/AJKZ8P8A/sETf+jqT4a/8FXG+HPw28K+FF+F3299C0e10pb7+39nm+REkW/Z9l+Xds3bd1AB&#10;+wL+2x45X4taX8N/H2vSeINF1yV7W2vteut13Y3WGZF81vnl81v3XlP/ABMmzZsdG/Qf9pr/AJNt&#10;+Kv/AGKWrf8ApFLX5XfsMfCnxJ+0T+1NZeONZS7msNL1NvEmsawsXlJLeLL5qxK6J5W952V2i+X9&#10;15u2v1R/aa/5Nt+Kv/Ypat/6RS0AfiZ+zt+zv4k/aa8b3vhfwxf6Vp+oW2nvqUkurSyxReUksUWz&#10;91E3z7pVr6L/AOHRfxg/6GPwP/4HXv8A8i14j+yP+0r/AMMs/EjU/Fn/AAjn/CT/AG3SpdK+yfbv&#10;su3dLFLv3+U3/PL7u3+Ov0A/Z0/4KWH9oD4zeHvAY+HX9gnVvP8A+Jj/AG59o8vyreWf/VfZ03f6&#10;rbw38VAH3DRRRQAUUUUAFFFFABRRRQAUUUUAFFFFABRRRQB5p+01/wAm2/FX/sUtW/8ASKWvz0/4&#10;I/8A/JWvHf8A2BV/9KEr9H/jF4VvvH3wm8Z+F9Okgj1HXNEvNMtprhmWJZJoHiRm2q2F3Pmvl79h&#10;H9i3xx+zB448Saz4q1TQL+11LT1tIl0e5nldG81X+fzYkoA6f4uf8E3/AIV/GL4iar4x1GXXtDv9&#10;ScS3dvoc8EFvLL/HLsaB/mf7zf3m+b7zMTd/4KBaXaaH+xD440/TrSGxsLWLS7e3tYI1iigiW/tV&#10;VUVfuqq/w19SV45+1l8JtY+Ov7P/AIo8DaFcWNpquqfZfIm1KVkt18q6ilfcyqzfdib+HvQB8z/8&#10;Ef8A/klPjv8A7DUX/pOleb/8Fhv+R0+Gn/YOvf8A0bFX1D+wn+zD4q/Zi8E+JNG8VX2kX9zqmord&#10;xyaPPLKiqItmG82JDXKft6fsc+Nv2ovEHhK+8K6noNhDpFrPBOusTzxM7O6P8nlRP/coA+gv2Zf+&#10;TbfhV/2KWk/+kUVfl18Tv+UpFp/2P+k/+jbev1Z+DvhW+8A/CbwZ4X1GSCTUdD0Sz0y5mt2Zomkh&#10;gSJ2Xcq5Xcma+OPGf7BPxB8RftlW/wAXLfV/DaeHY/E1hrX2SW6n+1mKB4mZdvkbd37pv46APov9&#10;rX9nO1/aZ+EN74cBtLPxFat9r0bU7tXKW1wp+423+CVN8TcNt3h9rMi1+Nmg/FbxP8N/hz8RfhZq&#10;EV6mla95UVzpN2zRf2bf2t1by+b5TJ8jbIHiZPl/g3/6pVr+gavgP9sr/gnTq/xw+KA8afD++0HR&#10;ptQt9usWeqNPEk10vS4QxpIMuuxXTav+q3fMztQByf8AwRs/5q7/ANwj/wBvaP8Agsn/AM0i/wC4&#10;v/7ZV7V+wL+yP4x/ZYbx0vizUtFv/wC3vsBtjo08suzyPtG7d5sSf89V/Kj9vr9kfxj+1O3gVfCe&#10;paLYf2D9vNydZnli3+f9n27fKif/AJ5N+dAHUf8ABOH/AJMy+Hv11H/05XVdzpH7THw58TfGTV/h&#10;TY6/Dd+LNNgDy2wP7uaX5vNt4n+68sSrudP4Q3/TKURxfsnfCbWfgV+z/wCFvA+u3Fjd6rpf2rz5&#10;tNlZ7dvNupZU2syq33ZV/h7V8N/tCf8ABKfXrPWNS1r4S31nqekSu0sXhvUpjFd2/K/uorh/llT7&#10;3MrIyoiruZvmoA6z/go1+yP8L/B/wru/iP4btbHwP4gtbuCL+zbLbDa6sZdkXlJBu2RyIitL+6X5&#10;lSXej/eTW/4JFeNte1f4d+NvDd95s+haJf28+mStvO1p1l82JGZtuxfKRtq/xSu38VfPsf7A/wC1&#10;B8WtSsrHxnLJa2thAy2d54q8SLewwL8n7qJYnuGX/vnb8lfpV+zb+zzov7NHwutvCWh3FxqEjyte&#10;6hqFwcPd3TKqvKF/5ZLtRFVF+6qL95tzMAeuV+If/BOP/k8z4efXUf8A023Vft5X5zfso/8ABO34&#10;kfAb4/8AhXxxr2t+F73SdL+1CePT725a4fzbWWJdqPAi8NKv8VAH6M1+a/8AwWT/AOaRf9xf/wBs&#10;q/SivkH9vr9kfxj+1O3gVfCepaLYf2D9vNydZnli3+f9n27fKif/AJ5N+dAGZ+wP8D/hx4w/ZP8A&#10;A+ra98P/AAvreq3X2/zr/U9Etbi4k239wi73dNzfKir/AMBr6t8JeAvDfgCwm07wxoGl+HNOml8+&#10;W00mzitYml2qu/bGq/NtVfm/2R6V+WH/AA6L+MH/AEMfgf8A8Dr3/wCRa+hv2G/2HPHv7MvxY1Px&#10;P4m1Xw7fafd6HLpkcWk3U8sole4gl3fvYE+XbEwoA8b/AOCwP/JTPh//ANgib/0dXp/iz9iDw18Y&#10;/wBi/wAC3/grwvpum/EpPDel6la3dpstf7Rka1iaWKd9vz7137Wbb+92fMi7q639u79i7xv+1B4v&#10;8Mar4V1TQNPttLsZbSddZnniZ2aXf8vlRPX098HfCt94B+E3gzwvqMkEmo6HolnplzNbszRNJDAk&#10;Tsu5Vyu5M0Afmx/wTL/aubwP4oh+FHie8uZtC1udU0GaWVfK068bfvi+b5ttw237rfLL/B+9Z6/R&#10;P9pr/k234q/9ilq3/pFLXyH+1x/wTX1f4vfFa68a/D7WNE0r+2v32q6fq2+3hW6+VfNi8iJt3m/e&#10;ff8ANv3Nubf8n0hpPw5+I+vfsta98P8AxtfaJdeNbrw9d6BFq1lfXVxbXe+1aKG4uGli81Zfm/ef&#10;f3FS38exAD85v+CX/gXw78QPj9r+neJ/D+l+I9Pi8M3FxHa6tZxXUSS/arVd+yRW+bazfN/t1+p3&#10;h34GfDjwnrVtq2g+APC+h6ta7jBqGnaLbW88e5SrbHRAy/KzKR/tV+Z3/Dov4wf9DH4H/wDA69/+&#10;RaP+HRfxg/6GPwP/AOB17/8AItBR+udFFFBIUUUUAFFFFABRRRQAUUUUAFFFFABRRRQAUVwPxy8R&#10;6h4R+Cnj/X9GuDZ6rpHh/Ub60uAFbyp4reR0ba3yt8y/xcV+T3g/9tr9rD4gXE9r4W1/VvEl1br5&#10;ksWj+F7O6eJf7zrFavtoA/Z+ivx11D9uj9qj4SeINPuPGrXkCzK0kWleKPDUVjFdLtC/wRRS/K7D&#10;7r/er7U/Y/8A29ND/aWuv+Ea12xh8LeO44t8Vqlxug1MIn717fdyrq29vs7lmVAG3PtfaAfW1FcD&#10;8cvEeoeEfgp4/wBf0a4NnqukeH9RvrS4AVvKnit5HRtrfK3zL/FxX5OeE/24P2rPH2pS6f4Y8R6p&#10;4j1CGP7TLaaT4Xs7qVYt6Jv2xWr/ACbnT5v9ugD9oaK/Iz/hoH9un/oFeOP/AAgYv/kKv0y+OXxU&#10;0/4I/CfxP451OBri30e2Ey2yuyefMzKkUW4K23fKyJu2nbu3UAeg0V+Mo/aI/ak/a+8USweDrvWo&#10;Etf3rWPgtm020s/3XPm3G/d8/lPtWWVvn3qv92us+CX7fPxu+EPxE0vwX8RNK1bxbCZ7Wyl0XUdO&#10;ZNdjVk+TyPuvLK3mxNsn3NLtVVZd+6gD9bqKjjk81Fb5vm/vLtqSgAorE8WeJrDwb4Z1jxFq0jW+&#10;l6TZy393MqsxWGJGd22r975Vr8ZtS/4KR/tBahqN3cw+NodNillaWKyt9Fs2igVn/wBUvmxM21Pu&#10;/M7N/tNQB+2lFeJfsi/Gab48fs++F/FV3cwza75LWWqeTLG7/bIm2O7qiKsTS/LLs2/Ksq17bQAU&#10;V+Kfhv8Aby/ag8X61b6ToPiy91vVbrd5Gn6b4bsLi4k2JvfZEtvub5Fdv+A11+m/8FAP2kvgn4yt&#10;V+JNlcajBcRrM2i+JtDTS5pIPN+d4mjiiZG+R0Vm3J/sNtoA/X2ivLf2efjtpP7RHwr0jxtpMX2L&#10;7VvivNNedJZbC5RtrxPt/BlLBWZHRtq7ttfHH/BRL9q74p/Aj416NoPgfxT/AGHpd14egv5bf+zr&#10;W43TtcXCM26WJ2+5Ev8A3zQB+jNFfAH/AATz/bZ8UfGbxZrXgf4j6zDqWvTRfb9Fvmtbe1aRU/19&#10;ufK2q7bdsqKibtq3G9vkWvr343fFbTvgd8LvEnjfVAZbbSbUyx225l+1Tt8sMIZUfbvldEL7fl3b&#10;m+VTQB6FRX4i3H/BR39oSa6lki8ex2yMzMsUOi2GyP8A2F327tX7dUAYHizxJYeEfD2pazq1z9k0&#10;+xhaeaTDu23/AGVQFmb+6i/MzfKtfCnwT+Kf7Tf7UHxl1W9tNVv/AIYfCy1ud8ok0K186OD+C3t2&#10;uIGaW4dQGZz8qb2bb/qom+XfDf7eX7UHi/WrfSdB8WXut6rdbvI0/TfDdhcXEmxN77Ilt9zfIrt/&#10;wGu5/wCGgf26f+gV44/8IGL/AOQqAP1zoriPg/qOv6t8J/BV94oEy+JbrRLOXVVuIPs8y3TQI0wa&#10;Lamxt+75dq7eeK/Irw3+3p+1B4w1q30nQfFl9rerXW7yNP0zw3YXFxLsTc+xFt9zfIrt/wAAoA/a&#10;yivyM/4aB/bp/wCgV44/8IGL/wCQq/STwl44vPDf7Omj+MvHK3Ueq2PhWDV9eV7byrgTJaLLcjyv&#10;l2PuD/J8vzUAen0V+OHib9sT9on9rPxt/wAI58Pv7U0WCWTzYNH8I74pYIvN2JLPertbb+9VXd3i&#10;i+4+1af4X/bW/aJ/Zd8XWmgfEGPUNYtbcfvNH8YwP9oli+0fPLFdf6x/uSoku6WL/ZbatAH7GUVi&#10;+F9cPiTw3pOsGxvtMOoWcV0bLUoPJurbegbypUz8ki/dZezCtqgAooooAKKKKACiiigAooooA80/&#10;aa/5Nt+Kv/Ypat/6RS1+en/BH/8A5K147/7Aq/8ApQlfoX+01/ybb8Vf+xS1b/0ilr89P+CP/wDy&#10;Vrx3/wBgVf8A0oSgD9Q9W0iz1zTLvT9RtIb6xu43t7m0uY1linjZSro6NwysvVa/FD9tT4J2f7Lf&#10;7REdj4O1C7sLCa3g17R9k7/aNN3TOmxJfvfLLbttb7+3Z8zP81fuFX4n/wDBRL4y+HfjR+0M134W&#10;vF1PS9D0yLRf7RibdDdSrNLKzRN/Em6XZu+62zcu9WWgD9MvHHiy7+IP7DPiLxTexQw3+tfDm41O&#10;eGDPlLLLprSsq7v4dzYr80f+Cdfxo8G/Av41a1r3jfWv7E0q68PT2EVx9lnuN87XFq6JtiR2+5E/&#10;/fFfpH4l8O6j4N/YF1bQdXg+yatpfw0msLu33q/lzxaWyOu5flb5lPt+dfmF+wz+zt4a/ab+LWq+&#10;GPE97qljp9roUupRzaTLFFN5qXFvFs/exP8ALtlago/VL4d/tqfBr4s+MtP8JeEvGH9reIL7zPst&#10;p/Zl5F5myJpX+eWJV4RGP3q5r/goF8I9V+Mn7NOs2Xh611HUtd0u5t9Xs9N08jdeeW+2VGT/AJaf&#10;upJWVF+ZnRNu77jZnwX/AOCdPw4+BPxN0bx1oOueKrvVdL83yIdQu7V7dvNieJ9yrbq33ZW/ir6s&#10;oJPxf/Yb/bWs/wBlt9b0bX9CutX8N6zPFdNPpnlfarOVInX7rIvmK/7r5WlVU2u6/ebd+nnw78R/&#10;Bz9oTxHp3xI8Iz6J4o8RaNaS2MWpom29sIJHZdksThZIt5il2b0HytLs+WV93n/xu/YY+EP7Sti3&#10;iOwgh0DXNRiN1beJvDjL5N55qO6SyxL+7uFd5hKz/LI+xf3oWvzU8ZeG/iD+wB+0UsWn6urahY+V&#10;dWd3DvW31awZ/uSxK27Y/lbWi3fKyfI3yo1AH7n0Vh+EfE1l418K6J4h0lmfStWsYL+1d1Ks0UqK&#10;6Hb/AA/K1blAHxH/AMFVvisPB/wFsPB0Dx/b/F98qOkkT5+y2rpLK6Ov3G837Knzfwu/+8vzr+z3&#10;+yS3xE/YL+Iuv/YLq58Raxef2poCxD7QJV07zVTyoovn82Vpb+32vu6o23+JvM/2/viVcfGr9q7W&#10;rLTLNrkaC6+FrGG3gf7RPLFM/m/Jubc/nyyqu37y7PlrV8I/HT9rzwF4Z0vw7oFj4o03RdMtktrO&#10;0XwZA/lRImxPme13N/vN8z0Aeq/8Ek/jI2n+LPE/wxvbmJLPVI/7Z0xZp0Q/aYtizIi/elZ4tjfe&#10;+VbVvl+9X6kV/Pv8OvEnir9mn4yeF/E95oupaVquk3MV7/Z99E9lNdWv3JU/ep8iyp5sW/Z/HX77&#10;aVqlnrmmWl/p13Df2F7Gk9tdW8iyxTRsoZXRl+8rL0agD8L/ANi/4keHfhL+0x4N8WeKtR/srQLD&#10;7Z9puvs8s3l7rK4iUbIlZvvMv8NfTP8AwUX/AGuvhj8dfhT4d8L+Btcm8Q30OspqU8yWM8EUEawT&#10;RbGMqo252nTbsDfdbdt+Xd8q/sn/AAj0j47/AB+8K+Bdeur2y0rVPtXnzabKiXCeVaSyptd0Zfvx&#10;J/DW5+1H+zrc/sp/GpdNudPn17wfLKt5o9xqiOkWowJsZ7d2idPmT/VNsdW+4+1d6UFn6D/8Eo9A&#10;1DR/2Yb67u7dobbVvEV1e2TblPmxLFbwbv8Av7BKv/AK+XP+Cuf/ACcl4b/7FK1/9Lb2v0x+B3xA&#10;8LfFL4W+HPEfgeFbTwrPbLFZ2K2wt/sixfuvI8pflTyypT5Pl+T5Sy7Wr8zv+Cuf/JyXhv8A7FK1&#10;/wDS29oIPFPit8I9c/ZnvfhF4/0O8lS18QaLpvifR76bypXgv1it5biLb/sSujLuTZtlVPm2PXff&#10;tkftbXv7X2peBtA8L6VqVrYQwRPLoaK0stzq0vyMibH/AH6r8sUT7Ff99L8vzV98yfA6w/aE/YN8&#10;D+DpRCmozeD9Ln0q6kAT7LfpZRGJ9+xti/wttXd5TvtryT9j3/gnDqvwb+KS+M/iJe+HtefTI9+j&#10;2OmPLcJHdb/+Ph/Mii+aL+D5W+Z93yNEu4A/O746fCK/+BfxQ1PwPqd5Ff6hpsFm91NCu1PNltYr&#10;h0T+8qNLt3fxbN21fu1/QnX4h/8ABRz/AJPM+If107/022tft5QB+Dv7F3xI8O/CX9pjwb4s8V6j&#10;/ZWgWH2z7TdfZ5ZvL3WVxEo2RKzfeZf4a/VC3/4KKfs93lzFBH8QfMmlZURBouo/e/8AAevye/ZP&#10;+EekfHf4/eFfAuvXV7ZaVqn2rz5tMlRLhPKtJZU2u6Mv34k/hr9GrL/gkx8ItPvLe5i8R+NhLBKs&#10;qb76zP3f+3WgD7Zr8Hf2LfiR4d+Ev7S3g3xZ4r1D+ytAsPtn2m7+zyzeXusriJfkiVm+8y/w1+8V&#10;fgT+yf8ACLSPjp8f/CvgfXrq9s9K1T7V582mSotwnlWksqbWZGX78Sfw0Afrb4c/b2+BXjDxJpWg&#10;aL45+2atql3HZWduNHv082eV9iJvaAKnzN/FXXftT/DG7+M37P8A458IacZjqV9Y7rSOFkRpbiJ0&#10;nhiLP8qq7xKjbv4WNeJ+Cf8Agl78LvAPjTw/4n03XvF8+oaLqMGpW0V1eWzQtJBKsqKwS3XK706V&#10;9j0Afh9+yJ+03f8A7HvxO15de8PXl1pl8q2Gs6XtW3u7OWKX/W/vV3bol89fK3R7mf5m+VK/UP4f&#10;/E/4H/teXPhvW9Kk0vxD4i8OXH9pWVlqcXlanpcuxN7+U3zMiNLF8674vNRGVi8SMrfjN+yX8If2&#10;moLjUNY0uI6z5slu/iTw9OsV6JYnWKVXddyysn2fytsqv5e11XY1flr8fPgf4z/YW+Mvh+fSfE8k&#10;1x5K3+j+ILGBoHbB2SxPEzt/uum9laJl3feZVAP3Korzj4A/FCP4zfBjwh40V4JJtWsI5rz7NE8U&#10;SXS/LcIqv821JVkTq33fvN96vR6ACiiigAooooAKKKKACiiigDzb9obT73WPgD8StN0+0mv9Qu/D&#10;WqW9taW0TSyzyvayqiIi/fZmI+X3r8f/AIQeHf2mfgLq2oal4G8CeONFvb+DyJ5f+ERluN0W/ft/&#10;e271+5NFAH41eIrn9s7493kXh/VdP+IIiuoJbVrd9OfQ7K4iZMuk7IlvA6uny/vf93+Ovp79in/g&#10;nT/wqfWbTxz8TPsOpeJ7YRS6Vo9u3mwac+1G82VvuvOjfKu3cibNys7bXT73ooA82/aG0+91j4A/&#10;ErTdPtJr/ULvw1qlvbWltE0ss8r2sqoiIv32ZiPl96/Hb4R+D/2kfgZ4mu9e8C+APHGi6tc2jWUt&#10;x/wiUtxugdkdk2y27r96JP8Avmv3SooA/Iz/AIaB/bp/6BXjj/wgYv8A5Cr78/bG+GXjv4ufAnXv&#10;Dfw/1waRrE4DTWu5YjqdttbzbLzv+WW/K/N91tnlPtR3Ye70UAfiX4f+N37SH7F9jD4VuY9U8N6J&#10;HdXS2uma7piy2ksv/LX7PKy/Om9t37p9m593z7/nt/DD9nX4w/trfFm08Z+LtO1AaJqk9q+seLLq&#10;3isEltVXZvtf3W2V/Kg2r5Ssqvt37d2+v2pooAr2trFZ28UEESwxRrtjjRdqqv8AdrjPjV4y1f4f&#10;fCnxP4g8PaLe+Itfs7Njp+m2NnLdPPct8sX7qL52Teys+3+FXru6KAPyb/4J2fsqeL0+P0Pinxx4&#10;L1rQdL8N2zXVrJrmnNAk943yRJtuE3NtVpZd6fceKL5l3Lu/WSiigD89/wDgqV+znr3xAPgrxp4P&#10;8NX3iHVrfzdH1GDSoLi6u3gP723byo0ZViR/tG5vl+aVPvfw+4fsB6p4yuv2c9I0fxz4c1jw7rHh&#10;yeTSI11u2lgmurVER4ZVSVF2oiS+R/F/qPvfw19MUUAfjv8AsE/A34keDf2svAusa78PvFWi6Va/&#10;bvPvdT0W6t7eLfYXCJud12r8zqn/AAOv0S/a3/Zo0/8Aaa+FN3oRWytfFNl+/wBD1e7jfNrP8u9C&#10;y/N5Uqrsb738L7WaJa92ooA/Kj/gnzqXxk+AXxNTw9r/AMNfHn/CC+Jp1guY30W6W3066Z0VL354&#10;tqrt+WX50+X5vm8pFq//AMFQvhF49+IHx+0DUfDPgrxH4j06HwzBby3ek6VcXUSSi6umKb4kb5tr&#10;L8v+3X6kUUAebfs8afeaP8AfhrpuoWk1hqFp4a0u3ubS6iaKWCVLWJXR0b7jKwPy+1ek0UUAfjv+&#10;3t8D/iR40/ay8daxoPw+8Va1pV19h8i+0zRbq4t5dlhbo+11Xa3zIy/8Ar9iKKKAPwb+G/wv/aB+&#10;E3jHT/FnhP4deONK1+x837Nd/wDCLzy+VvR4m+WW3dfuO38Fe4/8NA/t0/8AQK8cf+EDF/8AIVfr&#10;nRQBxPwf1HX9Z+E/gq+8UCZfEl1olnLqq3UH2eVbpoEaYPFtTY2/d8u1dvPFfip8OPhZ+0F8JfGe&#10;n+LfCfw68caVr9j5v2W7/wCEWnl8rfE0TfLLE6fddv4a/eGigD8jP+Ggf26f+gV44/8ACBi/+Qq/&#10;QW+0X4k/E79k+xsbPXpvB/xQ1bwzZtPqc9t5EsF40MbXCuqpugZ281Nypvi37lXcm2vbqKAPxH0H&#10;xN+0j+wsL2yWx1jwlok99AbmK+sI7zSrq48rcqpcbGi3Ov3vKdW+Ta3+q+WCPwT8ff2+vHdnr9zp&#10;VxrH7j7CmvXFmthplrapcfc85UVW2NO7bV82Xbu+V9tft/RQBzfgPwZbfD7wRoPhawmmmsNE0+30&#10;21kuGVpWiiiWJGfaq/NtXtXSUUUAFFFFABRRRQAUUUUAFFFFABRRXjf7THxs1j9n/wCGN944tPDF&#10;n4i0nTdv9oRXGqvZXC+ZNFDF5KrbyrL80vzbmTaF/ioA9korh/h3q3jTXtP+0+M/C2meFJ5Y4pYr&#10;Oy1t9SlRmXLpMfs8SIyHavyNKrfN8397P1i3+Jf/AAubQbnSbrw6vwujsJk1W0uVl/tWW6bdseL5&#10;NmxNkX8f3Xm+Vv3e0A9Ior57+DHjTxp8Qv2hfi/cnxJ9t+GHh28i0DTLBbOBc6kkUT3uZdvm/um+&#10;T5vlbzfl+5X0JQAUUVh+LPFGm+DfDOra/q9z9i0nTLWW9vLjYz+VFGu532r8zYX+7QBuUVl6XqUe&#10;tabaX0IuEguI1mRbqCS3mVWXcN8Uqq6N0+V1Vl5ziuG+DPibx3440zUdf8W6Nb+F9Nvp/M0LQpLd&#10;01O1s/4Wv281kWd/veUi/uvuszNuVQD02iiigAooooAKKKKACiiigAooooAKKKKACiiigAooooAK&#10;KKKACiiigAooooAKKKKACiiigAooooAKKKKACiiigAr5T/aSsR8Y/wBoz4RfCT7PHe6Vptw3jvxA&#10;ktur+Xb226G0X5ztaKWVpYnTazfMn8NfVj/cr570b9kO20H4oa38RrH4meNIPGmuWqWd/qnl6QzS&#10;xKsSquxrDYv+oi+4q/doA9c17WLe6OoeGtP8RafpPiyXTZru2SVlllgTOxLr7OXVniWTbn+H+HdX&#10;xv8As469b/BP9nX4q/tDatqGrav/AMJHO9xpp8R3Utxe3Vnas1rpqXT7W2zyyv8AOyM0Sq6bdiJ8&#10;vuOo/stK3w5+Jmg6X431t/Efj7Kap4s16KG/u/KZdht0REiRYPLaVFRdvl+c+zb8u3E8bfsV6b4l&#10;/ZrtvhDB458SWcEFxBcHV7i48952iTyoopYvlXyEVYtsSbRuhifLPuZwD541r9lzWPBWk/AHT7nx&#10;frV58UNd8Z2Gr32n3l/b7LZ4ori81K68r7t1PEWXdPK0rsqRIrbdiV6T8Wvh74y/bUsfENnbafHo&#10;3h/T/ELWnh3xFd640cFqlncfZ7i+gtbff9quWeK9X/SGiRIjB5XzNOzfQfwx+CcHgfXL7xPreu3v&#10;jj4galaQWN/4m1aOKJ1giVf3FrFEipbW/mBpfKT7zNudnba1cR8Hf2SYfhX4k1E3HjLV9c8FW+pT&#10;al4d8Fz710/SZJZVl3vukf7S0TIjRb/liffLt81t6gHkfx6+HPinUP2mfgdoHhzx3rF142sbSSV9&#10;S3J5WkaXFb+VPf3UHlSrLc3UrTL5v7qJtsUDJ/y1pPjH8DtKt9U+CH7OuianruvaTd6re6/4kl1H&#10;XZ2lk0tbj7RKt7FBtVluJ32RSuq7ZYvlbe7tX0l4Y+Cy+H/j144+J17rUmrXmu2Nnpun2s0LZ0e2&#10;iTM0UTl2DJLKFl27F2tn726uN8WfsqH4gfHjWPHviXxjqlz4f1LQl8O/8ItZ26WqmyDpK8Et0j+b&#10;JE8qs7Kuxm37C7RbkYAwPiDbap4i8bXXwW8M6FfeKfCFnoy3/iSTUvGtzC5lvHlSCyurpnlvFgaK&#10;Cd9sSuzs1urbYml3+k/sv/B7Wvgb8FfDvg3XvEcniPUrCJt85x5Nvubd9ng+VWaJM/Kz/N/uLtjT&#10;lfFn7J9xrXx51H4haR8QNe8J6XrtraweJtC0SSWCTV2tj+5b7Uku6D5ViT90u/YJVV1816920vS7&#10;PQ9MtNP060hsbG0jS3trW2iWKKCNVCqiIvCqq9F/KgDTooooAKKKKACiiigAooooAKKKKACiiigA&#10;ooooAKKKKACiiigAooooAKKKKACiiigAooooAKKKKACiiigAooooAK85+K3xw8G/ArTLTUvGuoXW&#10;kaZcHyUvYdMu7qFW+X5XkgidY/vfLv27vm2/davRq+Uv28tQu/Fvh/wR8HtN0+91S9+IGsKby3sv&#10;IS4bTbErdXX2d55UiWf5Itm/5W+agCLxl+2J4WvtT8L+KLHx3eeGPhNFL5t9rS+EtTlbWbj51SyS&#10;aWy8iKL5dzOrNK/3V8rbvP1lXg2h+Lo/ip4y1D4W6v8AC270PwhpmgpPqll4igs/KxLKi6fFAlvc&#10;So8W23vd39xrdPu15h8Wv2s/Hel+Bvi/498F2vh6y8M/DvW08M/Y9csZ7q71S+S4iiupd0VxEsEK&#10;/aItn+tZtr7tn3aAPsiivJm8beLPBtrp2g6/Hpvi7x3rc9x/ZVl4esZdPtUt40TfLcvLLceVFEzr&#10;vm+b/WxKkTOyq3nf7Onxu8f/ABI8YfFbU/Hn9g+GfBXgfVL3Q0OnSf6PJLE++eW4nmff/o8SJ8+y&#10;JH8922/L8oB6D4L+PuneN/jV4u+GcHhrxFYav4XhWe/v7y3tzp+1yhg2yxSv80qN5qKyq21X+6yM&#10;tafgH41aP8RvHnjzwnp+ma3Y3/g+7htL641K08iGd5Udl+z/ADbmXam7cVUMroy7lbdXz38MfFni&#10;jwr+z78Sv2g7fw79v8YeN5bzxClvq6/ZIdN0u0glGnpcbTuliSCAMjRJvla7XdtXdOu941/aO8ee&#10;EP2JNK+LWoSeG7Dxfe2cF79jt7Kae1lW6b/R4oomuEbzNkkDN8z7dsvytQB9X15xH8ZdLvPjRd/D&#10;XTdM1TUtXsNOi1LUtStView05ZS/lRXD+bvSdwm5Ytm5lYN93cy+U+ENQ8Rfsj/BrSbDx94i8K6n&#10;eXVzFZ6fNNcT2EU2pTvLcXst5qF1LLuDt50/m7E+6ypEztFFV/8AZT17xHca18StJ1fw7otrpUeq&#10;prGm+KvDdpdW9j4lF9vle4Rp3fzX+VfnSV1VXRF+REZgD6OooooAKKKKACiiigAooooAKKKKACii&#10;igAooooAKKKKACiiigAooooAKKKKACiiigAooooAKKKKACiiigAooooAzNUuJ7HT7q5trK41OaCN&#10;5Y7O1MazTsqkhE81kTc33fndV9WWvkvQNJ+JuoftWax8W/F3wV1b7BYaMNA8M2un6ho9xcRReczv&#10;cStLerslbe6/uv4ZWT5vvN9j0UAeCt8WvGOk65rPibx9oC/Cj4V+HbRruXUNW1K1ur3VpnQIkTRQ&#10;ecsUSFn+VH82WX7Pt+9LE3zhb+NtE+FHxK8ReKvix8H/ABVpvhWXxV/wlOg69plrdT6Ja+fK9ump&#10;39q8p8i82+UzKy+YrFdlvBLu836++NnwT0T46eFbHQ9bvdW0t7DULfVbDVdFu/st9Y3UWdssT4b5&#10;trsvzK33/wC9tZaF98AYPFSiz8a+MvEnj7QxLFcHQ9ZFjb2UssboyNKtnawNOuU/1UrPE2fmRtq7&#10;QDyvWvB3xsuv2ivizq3h3RtEs7XV/DtnpfhXxxrE0Df2YsMTSvAlvEryv5t1Ozbpdqr5QbbLtSJ+&#10;DsfhP8cPC/7CMPw00LwXb2ev3kX9iy6db6ra3Fxa2sstxLfXUssrJAwl3CJbdPmiWXf5rN8sX3VR&#10;QB8o/tBfDf4heLPgT4H+Hmi+BtP1KzuNWsk17R9P1GK206y0e2mV1svtEr+bu+W3XzYomZvJlbYm&#10;5YqP2k/BPxa8deOPgdDpnhWPxRpXhrU4tf1+S11C10uwk1KPalu6tK0tyscTee7oiPujlVPnb7n1&#10;dRQB8vfG7wz8VdB+IHwf8ZeGfCFr8XNV8Ow63Hq3nXlrpHlPeLb7Wt/Nf90q7HRf9a3lJtdnZ/Nr&#10;6B8LrrsOiW7eI3s5NXl3PcJpav5EW5iVjRm+Z9i4TzW279u7ZHu2L0FFABRTHdUXc3yKv8VPoAKK&#10;KKACiiigAooooAKKKKACiiigAooooAKKKKACiiigAooooAKKKKACiiigAooooAKKKKACiiigAooo&#10;oAK+Wf2/L/U9L+EOkp4Xv/Edj481vW7Pw/4cm0PW7iwX7VczK22fZNEjK0UDorShtrOPu7mavqav&#10;hzXfGPw//ak/bu8P+FLufRPE/hXwP4evLq2il+zXVpquo3PlCWIbmdZ0SLY/yruSWB/7tAHqXif4&#10;IeGbq2X4c6V8U/H2jfECfR/t9tqn/CY6pc3ixRSwxtdSxfaPI+d3Vdu1N25/K27Pkm0z9u74Pa1J&#10;5en+IJL+7m8Q2/hy0tLaDfcXk0vlfv4ovvPbpv8Amlx/B8u7fFv7CT4T/DP4OWPjrxMugaXoXhm8&#10;0JI9c0600yJNPe1tVupHd7eKL52ZLiVX+9uVUXb/AHvCPgxet4B+APxL/aY1/T1j8c+LIL/XrSPV&#10;lllazs/u6fYbt3zQNsgbeixbkeLf/qlagD3/AOKn7Rnw7+ClwLfxh4kGl3P2b7Y0MdpcXc0Vv5qx&#10;CWVYEdoo2ldUV32q7fKua474w/tXaZ8OPhNYeIrLRtfm8UeJdMgl8NaPPoN1L9ovrpP9FtZXiHlC&#10;Xd9+IS+ZtR9u75d3y/4o+IWgePfh58C/A3iDU9TvNE8f6gviTxr4oePzf7buordJ7jSkS1VZZ282&#10;W1tU8r/VeVbwJ5rxPFH6N+0d8WPDWqftXfDvw/4gnu303wLpreLpfD1jK13e6prMjpFYWCWsTfNc&#10;xMyTr8zfLK27bFucgH0qvxg0rSvh/a6/qSavd3QAtltLfw5f2d9qN0qlnS1sJV+0Nu2O+35tqK7M&#10;21GeuK/4bX+Ff/Chf+Fr/wBsT/8ACO+f9i+y/Zx9u+27N/2Pyt3+t28/e2bfn3bPmrgfip468I33&#10;7U2qaL408b+IvBSaD4ZtV0ix09vsr60t1dM96kEsUTXErM0GnxKlu6Ss0UqJu/e1l/H/AMJ+HPBH&#10;wp8A/B7wD4Yk8H+JfiPef2LF5MP2rUNMsJXhl1eaWVWl87aixLKv2j5l+be6xUAerL+2Z8L9T0/x&#10;xfaHqN94osvCOkQa1qNxoli90rRy7m8pGX/logRd+7akW/5mXy5fKXW/20PhTpHirwN4cg12XV9Z&#10;8XS2Kada6fbs7xRXiK1vNPv2+Urb4vlf97+9Rtm35hyH7U0+j/B39nvSPhB4Gg03RtQ8bXEXgvQN&#10;NkP7qJbpvLuJpPm81l2u2+X5282dGbduryzT18M+Kf2svBfws8OW8l94K+E8VrPPZ6eImn1PW0ii&#10;t4rm4ZJVVks4ok3Tuq7JYmg+Zp4ImAPoL40/EX4T+M/EVh8DfGIu/EV/4pnit5dG0+3um8son2pX&#10;nmg2+Vt8qFmXduVZYndViffWX46/as0/w18bPCvw80fRdb1Deb258STReGtTlmsLOFWihlgiS33S&#10;xS3WxPtEW+JQjf31ZeM+GvizRPil+2/4su7WH7da+DLSTw/pVrbhWhs7pnaXVdQaKQq0Ennslr5q&#10;LuuN77d6RStFn/shfEbRvi58dfin8QoJP7f1PWtT/srTPsVt8uk6Dao32e4leV90C3T7P9H+V3lX&#10;zfK2q7RAHov7YHxY8NeFPhzqXhrXtW1zR7XWTa2ms6noGlm/fS9LubgRSzTtt2QJKqzQI/zPuZmi&#10;SVomWvZPAngbRPhv4R0rw54b0uHR9D02PyLayh4VFyc+7MzEszMdzMzM3zV8Ufs2a98Nv2g/D00n&#10;inUvEHjXxf4y8R3muah4Bj1GeWy03ZdxIrzovlK9rFbpYf8AH0zp+52QJudon+/qACiiigAooooA&#10;KKKKACiiigAooooAKKKKACiiigAooooAKKKKACiiigAooooAKKKKACiiigAooooAr3VnFeW8lvPE&#10;s0Ei7ZIpF3Ky/wB2sW38A+GrWaKeDw5pMEsbbo5obGJHVv7w+XiuiooAzNU0uz1zTLvT9QtIb6xu&#10;43gubW4jWWKaNlKsjo3DKy/w1D/wjOkf8Iv/AGB/Zdj/AMI/9k+wf2V9mT7J9m2bPJ8rG3y9vy7P&#10;u7a2aKAOe/4QXw79n0SAaFpn2fQtv9kxfY4tthtTavkfL+6+X5fl/hptr4F8O6f4sufE9toGl23i&#10;W8j+z3WsRWUS3s8Py/I823ey/Iny/wCwv92ujooA5u68C+HdQ8V2nie50DTLnxLYx/Z7XWJbKNr2&#10;CH5vkSbbuVfnf5R/fb+9Vq+8M6PqmsaTq95pVnd6rpJmOn309qr3Fn5q7JTE7fMm9Plbb96tqigD&#10;FvvDOj6prOk6xe6TZ3eq6SZjp99Paq9xZ+auyXynb5k3p8rbfvCqug+BfDvhXUNW1DQtA0vR9Q1a&#10;b7Rqd1p1pHBLeS7mbfMyr+8bc7/M399q6SigDE0DwxpHhv7edH0mx0r7deS392bK2SH7TcuRvnl2&#10;j55Gx8zt8xxUXhXwV4e8BaWdN8NaBpnh3Ty7SG10mzitYix/j2oqruroKKAOa0HwJ4c8K6hq2oaF&#10;4f0vR9Q1abz9Ru9OsooJbyXczb5mVf3jbnf5m/vtXS0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2VBLAQItABQABgAIAAAAIQCKFT+YDAEAABUCAAATAAAA&#10;AAAAAAAAAAAAAAAAAABbQ29udGVudF9UeXBlc10ueG1sUEsBAi0AFAAGAAgAAAAhADj9If/WAAAA&#10;lAEAAAsAAAAAAAAAAAAAAAAAPQEAAF9yZWxzLy5yZWxzUEsBAi0AFAAGAAgAAAAhAFVzNfU3AwAA&#10;uwwAAA4AAAAAAAAAAAAAAAAAPAIAAGRycy9lMm9Eb2MueG1sUEsBAi0AFAAGAAgAAAAhAFhgsxu6&#10;AAAAIgEAABkAAAAAAAAAAAAAAAAAnwUAAGRycy9fcmVscy9lMm9Eb2MueG1sLnJlbHNQSwECLQAU&#10;AAYACAAAACEAVqBB8N8AAAAIAQAADwAAAAAAAAAAAAAAAACQBgAAZHJzL2Rvd25yZXYueG1sUEsB&#10;Ai0ACgAAAAAAAAAhAGF8a3KnQAAAp0AAABUAAAAAAAAAAAAAAAAAnAcAAGRycy9tZWRpYS9pbWFn&#10;ZTEuanBlZ1BLBQYAAAAABgAGAH0BAAB2SAAAAAA=&#10;" o:allowincell="f">
                <v:rect id="Rectangle 28" o:spid="_x0000_s1027" style="position:absolute;top:4838;width:514;height:2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5YtwQAAANoAAAAPAAAAZHJzL2Rvd25yZXYueG1sRI9Ba8JA&#10;FITvBf/D8oTe6kYPUqOriCFgb6320tsj+0yC2bfJ7prEf+8WBI/DzHzDbHajaURPzteWFcxnCQji&#10;wuqaSwW/5/zjE4QPyBoby6TgTh5228nbBlNtB/6h/hRKESHsU1RQhdCmUvqiIoN+Zlvi6F2sMxii&#10;dKXUDocIN41cJMlSGqw5LlTY0qGi4nq6GQWZW+rcH45ZvvobsvD13fWd7JR6n477NYhAY3iFn+2j&#10;VrCA/yvxBsjtAwAA//8DAFBLAQItABQABgAIAAAAIQDb4fbL7gAAAIUBAAATAAAAAAAAAAAAAAAA&#10;AAAAAABbQ29udGVudF9UeXBlc10ueG1sUEsBAi0AFAAGAAgAAAAhAFr0LFu/AAAAFQEAAAsAAAAA&#10;AAAAAAAAAAAAHwEAAF9yZWxzLy5yZWxzUEsBAi0AFAAGAAgAAAAhAE/3li3BAAAA2gAAAA8AAAAA&#10;AAAAAAAAAAAABwIAAGRycy9kb3ducmV2LnhtbFBLBQYAAAAAAwADALcAAAD1AgAAAAA=&#10;" filled="f" stroked="f" strokeweight="0">
                  <v:textbox inset="0,0,0,0">
                    <w:txbxContent>
                      <w:p w:rsidR="00C76715" w:rsidRDefault="00944E09">
                        <w:pPr>
                          <w:spacing w:after="160" w:line="259" w:lineRule="auto"/>
                          <w:ind w:left="0" w:firstLine="0"/>
                          <w:jc w:val="left"/>
                        </w:pPr>
                        <w:r>
                          <w:rPr>
                            <w:b/>
                          </w:rPr>
                          <w:t xml:space="preserve"> </w:t>
                        </w:r>
                      </w:p>
                    </w:txbxContent>
                  </v:textbox>
                </v:rect>
                <v:rect id="Rectangle 29" o:spid="_x0000_s1028" style="position:absolute;top:6476;width:514;height:2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zO2wgAAANoAAAAPAAAAZHJzL2Rvd25yZXYueG1sRI/NasMw&#10;EITvhbyD2EBvjZwUQupGCSHGkN7yd+ltsba2ibWyJdV2374KBHIcZuYbZr0dTSN6cr62rGA+S0AQ&#10;F1bXXCq4XvK3FQgfkDU2lknBH3nYbiYva0y1HfhE/TmUIkLYp6igCqFNpfRFRQb9zLbE0fuxzmCI&#10;0pVSOxwi3DRykSRLabDmuFBhS/uKitv51yjI3FLnfn/I8o/vIQtfx67vZKfU63TcfYIINIZn+NE+&#10;aAXvcL8Sb4Dc/AMAAP//AwBQSwECLQAUAAYACAAAACEA2+H2y+4AAACFAQAAEwAAAAAAAAAAAAAA&#10;AAAAAAAAW0NvbnRlbnRfVHlwZXNdLnhtbFBLAQItABQABgAIAAAAIQBa9CxbvwAAABUBAAALAAAA&#10;AAAAAAAAAAAAAB8BAABfcmVscy8ucmVsc1BLAQItABQABgAIAAAAIQAguzO2wgAAANoAAAAPAAAA&#10;AAAAAAAAAAAAAAcCAABkcnMvZG93bnJldi54bWxQSwUGAAAAAAMAAwC3AAAA9gIAAAAA&#10;" filled="f" stroked="f" strokeweight="0">
                  <v:textbox inset="0,0,0,0">
                    <w:txbxContent>
                      <w:p w:rsidR="00C76715" w:rsidRDefault="00944E09">
                        <w:pPr>
                          <w:spacing w:after="160" w:line="259" w:lineRule="auto"/>
                          <w:ind w:left="0" w:firstLine="0"/>
                          <w:jc w:val="left"/>
                        </w:pPr>
                        <w:r>
                          <w:t xml:space="preserve"> </w:t>
                        </w:r>
                      </w:p>
                    </w:txbxContent>
                  </v:textbox>
                </v:rect>
                <v:rect id="Rectangle 30" o:spid="_x0000_s1029" style="position:absolute;top:8215;width:514;height:2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qvCwgAAANoAAAAPAAAAZHJzL2Rvd25yZXYueG1sRI/NasMw&#10;EITvhbyD2EBvjZxQQupGCSHGkN7yd+ltsba2ibWyJdV2374KBHIcZuYbZr0dTSN6cr62rGA+S0AQ&#10;F1bXXCq4XvK3FQgfkDU2lknBH3nYbiYva0y1HfhE/TmUIkLYp6igCqFNpfRFRQb9zLbE0fuxzmCI&#10;0pVSOxwi3DRykSRLabDmuFBhS/uKitv51yjI3FLnfn/I8o/vIQtfx67vZKfU63TcfYIINIZn+NE+&#10;aAXvcL8Sb4Dc/AMAAP//AwBQSwECLQAUAAYACAAAACEA2+H2y+4AAACFAQAAEwAAAAAAAAAAAAAA&#10;AAAAAAAAW0NvbnRlbnRfVHlwZXNdLnhtbFBLAQItABQABgAIAAAAIQBa9CxbvwAAABUBAAALAAAA&#10;AAAAAAAAAAAAAB8BAABfcmVscy8ucmVsc1BLAQItABQABgAIAAAAIQCvUqvCwgAAANoAAAAPAAAA&#10;AAAAAAAAAAAAAAcCAABkcnMvZG93bnJldi54bWxQSwUGAAAAAAMAAwC3AAAA9gIAAAAA&#10;" filled="f" stroked="f" strokeweight="0">
                  <v:textbox inset="0,0,0,0">
                    <w:txbxContent>
                      <w:p w:rsidR="00C76715" w:rsidRDefault="00944E09">
                        <w:pPr>
                          <w:spacing w:after="160" w:line="259" w:lineRule="auto"/>
                          <w:ind w:left="0" w:firstLine="0"/>
                          <w:jc w:val="left"/>
                        </w:pPr>
                        <w: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9" o:spid="_x0000_s1030" type="#_x0000_t75" style="position:absolute;width:13640;height:122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irfvQAAANoAAAAPAAAAZHJzL2Rvd25yZXYueG1sRI9LC8Iw&#10;EITvgv8hrOBNU59INYoIgnjz0fvarG2x2dQmav33RhA8DjPzDbNYNaYUT6pdYVnBoB+BIE6tLjhT&#10;cD5tezMQziNrLC2Tgjc5WC3brQXG2r74QM+jz0SAsItRQe59FUvp0pwMur6tiIN3tbVBH2SdSV3j&#10;K8BNKYdRNJUGCw4LOVa0ySm9HR9GAe/PyeQw0qa5jNx6nLy3OrsnSnU7zXoOwlPj/+Ffe6cVTOB7&#10;JdwAufwAAAD//wMAUEsBAi0AFAAGAAgAAAAhANvh9svuAAAAhQEAABMAAAAAAAAAAAAAAAAAAAAA&#10;AFtDb250ZW50X1R5cGVzXS54bWxQSwECLQAUAAYACAAAACEAWvQsW78AAAAVAQAACwAAAAAAAAAA&#10;AAAAAAAfAQAAX3JlbHMvLnJlbHNQSwECLQAUAAYACAAAACEAFToq370AAADaAAAADwAAAAAAAAAA&#10;AAAAAAAHAgAAZHJzL2Rvd25yZXYueG1sUEsFBgAAAAADAAMAtwAAAPECAAAAAA==&#10;" strokeweight="0">
                  <v:imagedata r:id="rId9" o:title=""/>
                </v:shape>
                <w10:wrap type="square"/>
              </v:group>
            </w:pict>
          </mc:Fallback>
        </mc:AlternateContent>
      </w:r>
      <w:r>
        <w:rPr>
          <w:noProof/>
        </w:rPr>
        <w:drawing>
          <wp:anchor distT="0" distB="0" distL="114300" distR="114300" simplePos="0" relativeHeight="8" behindDoc="0" locked="0" layoutInCell="0" allowOverlap="1">
            <wp:simplePos x="0" y="0"/>
            <wp:positionH relativeFrom="column">
              <wp:posOffset>45720</wp:posOffset>
            </wp:positionH>
            <wp:positionV relativeFrom="paragraph">
              <wp:posOffset>635</wp:posOffset>
            </wp:positionV>
            <wp:extent cx="1383665" cy="1274445"/>
            <wp:effectExtent l="0" t="0" r="0" b="0"/>
            <wp:wrapTight wrapText="bothSides">
              <wp:wrapPolygon edited="0">
                <wp:start x="-8" y="0"/>
                <wp:lineTo x="-8" y="21306"/>
                <wp:lineTo x="21406" y="21306"/>
                <wp:lineTo x="21406" y="0"/>
                <wp:lineTo x="-8" y="0"/>
              </wp:wrapPolygon>
            </wp:wrapTight>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1"/>
                    <pic:cNvPicPr>
                      <a:picLocks noChangeAspect="1" noChangeArrowheads="1"/>
                    </pic:cNvPicPr>
                  </pic:nvPicPr>
                  <pic:blipFill>
                    <a:blip r:embed="rId10"/>
                    <a:stretch>
                      <a:fillRect/>
                    </a:stretch>
                  </pic:blipFill>
                  <pic:spPr bwMode="auto">
                    <a:xfrm>
                      <a:off x="0" y="0"/>
                      <a:ext cx="1383665" cy="1274445"/>
                    </a:xfrm>
                    <a:prstGeom prst="rect">
                      <a:avLst/>
                    </a:prstGeom>
                  </pic:spPr>
                </pic:pic>
              </a:graphicData>
            </a:graphic>
          </wp:anchor>
        </w:drawing>
      </w:r>
      <w:r>
        <w:rPr>
          <w:b/>
        </w:rPr>
        <w:t xml:space="preserve">Service de l’énergie opérationnelle </w:t>
      </w:r>
    </w:p>
    <w:p w:rsidR="00C76715" w:rsidRDefault="00944E09">
      <w:pPr>
        <w:spacing w:after="0" w:line="264" w:lineRule="auto"/>
        <w:ind w:right="514"/>
        <w:jc w:val="right"/>
      </w:pPr>
      <w:r>
        <w:rPr>
          <w:b/>
        </w:rPr>
        <w:t xml:space="preserve">Centre de soutien technique et administratif </w:t>
      </w:r>
    </w:p>
    <w:p w:rsidR="00C76715" w:rsidRDefault="00944E09">
      <w:pPr>
        <w:spacing w:after="777" w:line="264" w:lineRule="auto"/>
        <w:ind w:right="514"/>
        <w:jc w:val="right"/>
      </w:pPr>
      <w:r>
        <w:rPr>
          <w:b/>
        </w:rPr>
        <w:t xml:space="preserve">Bureau Achats </w:t>
      </w:r>
    </w:p>
    <w:p w:rsidR="00C76715" w:rsidRDefault="00C76715">
      <w:pPr>
        <w:spacing w:after="0" w:line="259" w:lineRule="auto"/>
        <w:ind w:left="4950" w:right="5341" w:firstLine="0"/>
      </w:pPr>
    </w:p>
    <w:p w:rsidR="00C76715" w:rsidRDefault="00C76715">
      <w:pPr>
        <w:spacing w:before="840" w:after="0" w:line="240" w:lineRule="auto"/>
        <w:ind w:left="79" w:firstLine="0"/>
        <w:jc w:val="left"/>
      </w:pPr>
    </w:p>
    <w:p w:rsidR="00C76715" w:rsidRDefault="00944E09">
      <w:pPr>
        <w:pBdr>
          <w:top w:val="single" w:sz="4" w:space="0" w:color="000000"/>
          <w:left w:val="single" w:sz="4" w:space="0" w:color="000000"/>
          <w:bottom w:val="single" w:sz="4" w:space="0" w:color="000000"/>
          <w:right w:val="single" w:sz="4" w:space="0" w:color="000000"/>
        </w:pBdr>
        <w:spacing w:after="17" w:line="259" w:lineRule="auto"/>
        <w:ind w:left="0" w:right="391" w:firstLine="0"/>
        <w:jc w:val="center"/>
      </w:pPr>
      <w:r>
        <w:t xml:space="preserve"> </w:t>
      </w:r>
    </w:p>
    <w:p w:rsidR="00C76715" w:rsidRDefault="00944E09">
      <w:pPr>
        <w:pBdr>
          <w:top w:val="single" w:sz="4" w:space="0" w:color="000000"/>
          <w:left w:val="single" w:sz="4" w:space="0" w:color="000000"/>
          <w:bottom w:val="single" w:sz="4" w:space="0" w:color="000000"/>
          <w:right w:val="single" w:sz="4" w:space="0" w:color="000000"/>
        </w:pBdr>
        <w:spacing w:after="0" w:line="259" w:lineRule="auto"/>
        <w:ind w:left="0" w:right="391" w:firstLine="0"/>
        <w:jc w:val="center"/>
      </w:pPr>
      <w:r>
        <w:t xml:space="preserve">Travaux de mise en conformité du DE/P de Donges </w:t>
      </w:r>
    </w:p>
    <w:p w:rsidR="00C76715" w:rsidRDefault="00C76715">
      <w:pPr>
        <w:pBdr>
          <w:top w:val="single" w:sz="4" w:space="0" w:color="000000"/>
          <w:left w:val="single" w:sz="4" w:space="0" w:color="000000"/>
          <w:bottom w:val="single" w:sz="4" w:space="0" w:color="000000"/>
          <w:right w:val="single" w:sz="4" w:space="0" w:color="000000"/>
        </w:pBdr>
        <w:spacing w:after="0" w:line="259" w:lineRule="auto"/>
        <w:ind w:left="0" w:right="391" w:firstLine="0"/>
        <w:jc w:val="center"/>
      </w:pPr>
    </w:p>
    <w:p w:rsidR="00C76715" w:rsidRDefault="00944E09">
      <w:pPr>
        <w:pBdr>
          <w:top w:val="single" w:sz="4" w:space="0" w:color="000000"/>
          <w:left w:val="single" w:sz="4" w:space="0" w:color="000000"/>
          <w:bottom w:val="single" w:sz="4" w:space="0" w:color="000000"/>
          <w:right w:val="single" w:sz="4" w:space="0" w:color="000000"/>
        </w:pBdr>
        <w:spacing w:after="2" w:line="264" w:lineRule="auto"/>
        <w:ind w:left="10" w:right="391"/>
        <w:jc w:val="center"/>
        <w:rPr>
          <w:b/>
        </w:rPr>
      </w:pPr>
      <w:r>
        <w:rPr>
          <w:b/>
        </w:rPr>
        <w:t>RÈGLEMENT DE LA CONSULTATION</w:t>
      </w:r>
    </w:p>
    <w:p w:rsidR="00C76715" w:rsidRDefault="00C76715">
      <w:pPr>
        <w:pBdr>
          <w:top w:val="single" w:sz="4" w:space="0" w:color="000000"/>
          <w:left w:val="single" w:sz="4" w:space="0" w:color="000000"/>
          <w:bottom w:val="single" w:sz="4" w:space="0" w:color="000000"/>
          <w:right w:val="single" w:sz="4" w:space="0" w:color="000000"/>
        </w:pBdr>
        <w:spacing w:after="2" w:line="264" w:lineRule="auto"/>
        <w:ind w:left="10" w:right="391"/>
        <w:jc w:val="center"/>
        <w:rPr>
          <w:b/>
        </w:rPr>
      </w:pPr>
    </w:p>
    <w:p w:rsidR="00C76715" w:rsidRDefault="00944E09">
      <w:pPr>
        <w:pBdr>
          <w:top w:val="single" w:sz="4" w:space="0" w:color="000000"/>
          <w:left w:val="single" w:sz="4" w:space="0" w:color="000000"/>
          <w:bottom w:val="single" w:sz="4" w:space="0" w:color="000000"/>
          <w:right w:val="single" w:sz="4" w:space="0" w:color="000000"/>
        </w:pBdr>
        <w:spacing w:after="2" w:line="264" w:lineRule="auto"/>
        <w:ind w:left="10" w:right="391"/>
        <w:jc w:val="center"/>
        <w:rPr>
          <w:b/>
        </w:rPr>
      </w:pPr>
      <w:r>
        <w:rPr>
          <w:b/>
        </w:rPr>
        <w:t>Phase candidature</w:t>
      </w:r>
    </w:p>
    <w:p w:rsidR="00C76715" w:rsidRDefault="00944E09">
      <w:pPr>
        <w:pBdr>
          <w:top w:val="single" w:sz="4" w:space="0" w:color="000000"/>
          <w:left w:val="single" w:sz="4" w:space="0" w:color="000000"/>
          <w:bottom w:val="single" w:sz="4" w:space="0" w:color="000000"/>
          <w:right w:val="single" w:sz="4" w:space="0" w:color="000000"/>
        </w:pBdr>
        <w:spacing w:after="2" w:line="264" w:lineRule="auto"/>
        <w:ind w:left="10" w:right="391"/>
        <w:jc w:val="center"/>
      </w:pPr>
      <w:r>
        <w:rPr>
          <w:b/>
        </w:rPr>
        <w:t xml:space="preserve"> </w:t>
      </w:r>
    </w:p>
    <w:p w:rsidR="00C76715" w:rsidRDefault="00944E09">
      <w:pPr>
        <w:pBdr>
          <w:top w:val="single" w:sz="4" w:space="0" w:color="000000"/>
          <w:left w:val="single" w:sz="4" w:space="0" w:color="000000"/>
          <w:bottom w:val="single" w:sz="4" w:space="0" w:color="000000"/>
          <w:right w:val="single" w:sz="4" w:space="0" w:color="000000"/>
        </w:pBdr>
        <w:spacing w:after="31" w:line="259" w:lineRule="auto"/>
        <w:ind w:left="0" w:right="391" w:firstLine="0"/>
        <w:jc w:val="center"/>
      </w:pPr>
      <w:r>
        <w:rPr>
          <w:b/>
        </w:rPr>
        <w:t xml:space="preserve"> </w:t>
      </w:r>
    </w:p>
    <w:p w:rsidR="00C76715" w:rsidRDefault="00C76715">
      <w:pPr>
        <w:spacing w:after="0" w:line="259" w:lineRule="auto"/>
        <w:ind w:left="0" w:firstLine="0"/>
      </w:pPr>
    </w:p>
    <w:p w:rsidR="00C76715" w:rsidRDefault="00C76715">
      <w:pPr>
        <w:spacing w:after="0" w:line="259" w:lineRule="auto"/>
        <w:ind w:left="0" w:firstLine="0"/>
      </w:pPr>
    </w:p>
    <w:p w:rsidR="00C76715" w:rsidRDefault="00C76715">
      <w:pPr>
        <w:spacing w:after="0" w:line="259" w:lineRule="auto"/>
        <w:ind w:left="0" w:firstLine="0"/>
      </w:pPr>
    </w:p>
    <w:p w:rsidR="00C76715" w:rsidRDefault="00C76715">
      <w:pPr>
        <w:spacing w:after="0" w:line="259" w:lineRule="auto"/>
        <w:ind w:left="0" w:firstLine="0"/>
      </w:pPr>
    </w:p>
    <w:p w:rsidR="00C76715" w:rsidRDefault="00944E09">
      <w:pPr>
        <w:spacing w:after="10"/>
        <w:ind w:left="0" w:right="520" w:firstLine="0"/>
      </w:pPr>
      <w:r>
        <w:t xml:space="preserve">Numéro de consultation : </w:t>
      </w:r>
      <w:r>
        <w:rPr>
          <w:b/>
        </w:rPr>
        <w:t>DAF_2026_000407</w:t>
      </w:r>
    </w:p>
    <w:p w:rsidR="00C76715" w:rsidRDefault="00C76715">
      <w:pPr>
        <w:spacing w:after="0" w:line="259" w:lineRule="auto"/>
        <w:ind w:left="0" w:firstLine="0"/>
      </w:pPr>
    </w:p>
    <w:p w:rsidR="00C76715" w:rsidRDefault="00C76715">
      <w:pPr>
        <w:spacing w:after="0" w:line="259" w:lineRule="auto"/>
        <w:ind w:left="0" w:firstLine="0"/>
      </w:pPr>
    </w:p>
    <w:p w:rsidR="00C76715" w:rsidRDefault="00944E09">
      <w:pPr>
        <w:spacing w:after="0" w:line="259" w:lineRule="auto"/>
        <w:ind w:left="0" w:firstLine="0"/>
      </w:pPr>
      <w:r>
        <w:t>Procédure de passation : Marché à procédure adaptée (MAPA) restreinte avec négociation éventuelle, et suivant les règles spécifiques applicables aux Marchés de défense ou de sécurité (MDS).</w:t>
      </w:r>
    </w:p>
    <w:p w:rsidR="00C76715" w:rsidRDefault="00C76715">
      <w:pPr>
        <w:spacing w:after="0" w:line="259" w:lineRule="auto"/>
        <w:ind w:left="0" w:firstLine="0"/>
      </w:pPr>
    </w:p>
    <w:p w:rsidR="00C76715" w:rsidRDefault="00C76715">
      <w:pPr>
        <w:spacing w:after="0" w:line="259" w:lineRule="auto"/>
        <w:ind w:left="0" w:firstLine="0"/>
      </w:pPr>
    </w:p>
    <w:tbl>
      <w:tblPr>
        <w:tblW w:w="9604" w:type="dxa"/>
        <w:tblInd w:w="54" w:type="dxa"/>
        <w:tblLayout w:type="fixed"/>
        <w:tblCellMar>
          <w:left w:w="70" w:type="dxa"/>
          <w:right w:w="70" w:type="dxa"/>
        </w:tblCellMar>
        <w:tblLook w:val="0000" w:firstRow="0" w:lastRow="0" w:firstColumn="0" w:lastColumn="0" w:noHBand="0" w:noVBand="0"/>
      </w:tblPr>
      <w:tblGrid>
        <w:gridCol w:w="9604"/>
      </w:tblGrid>
      <w:tr w:rsidR="00C76715">
        <w:trPr>
          <w:trHeight w:val="1365"/>
        </w:trPr>
        <w:tc>
          <w:tcPr>
            <w:tcW w:w="9604" w:type="dxa"/>
            <w:tcBorders>
              <w:top w:val="single" w:sz="4" w:space="0" w:color="000000"/>
              <w:left w:val="single" w:sz="4" w:space="0" w:color="000000"/>
              <w:bottom w:val="single" w:sz="4" w:space="0" w:color="000000"/>
              <w:right w:val="single" w:sz="4" w:space="0" w:color="000000"/>
            </w:tcBorders>
          </w:tcPr>
          <w:p w:rsidR="00C76715" w:rsidRDefault="00944E09">
            <w:pPr>
              <w:spacing w:after="0" w:line="240" w:lineRule="auto"/>
              <w:ind w:left="0" w:firstLine="0"/>
              <w:jc w:val="left"/>
              <w:rPr>
                <w:rFonts w:eastAsia="Calibri"/>
                <w:b/>
                <w:bCs/>
                <w:lang w:eastAsia="en-US"/>
              </w:rPr>
            </w:pPr>
            <w:r>
              <w:rPr>
                <w:rFonts w:eastAsia="Calibri"/>
                <w:b/>
                <w:bCs/>
                <w:lang w:eastAsia="en-US"/>
              </w:rPr>
              <w:t>Candidatures :</w:t>
            </w:r>
          </w:p>
          <w:p w:rsidR="00C76715" w:rsidRDefault="00944E09">
            <w:pPr>
              <w:spacing w:after="0" w:line="240" w:lineRule="auto"/>
              <w:ind w:left="0" w:firstLine="0"/>
              <w:jc w:val="left"/>
              <w:rPr>
                <w:rFonts w:eastAsia="Calibri"/>
                <w:lang w:eastAsia="en-US"/>
              </w:rPr>
            </w:pPr>
            <w:r>
              <w:rPr>
                <w:rFonts w:eastAsia="Calibri"/>
                <w:bCs/>
                <w:lang w:eastAsia="en-US"/>
              </w:rPr>
              <w:t>Date limite de réception des candidatures fixée</w:t>
            </w:r>
            <w:r>
              <w:rPr>
                <w:rFonts w:eastAsia="Calibri"/>
                <w:b/>
                <w:bCs/>
                <w:lang w:eastAsia="en-US"/>
              </w:rPr>
              <w:t xml:space="preserve"> </w:t>
            </w:r>
            <w:r>
              <w:rPr>
                <w:rFonts w:eastAsia="Calibri"/>
                <w:bCs/>
                <w:lang w:eastAsia="en-US"/>
              </w:rPr>
              <w:t>au</w:t>
            </w:r>
            <w:r>
              <w:rPr>
                <w:rFonts w:eastAsia="Calibri"/>
                <w:b/>
                <w:bCs/>
                <w:lang w:eastAsia="en-US"/>
              </w:rPr>
              <w:t xml:space="preserve"> </w:t>
            </w:r>
            <w:r w:rsidR="008A76B8" w:rsidRPr="009C21E8">
              <w:rPr>
                <w:rFonts w:eastAsia="Calibri"/>
                <w:b/>
                <w:bCs/>
                <w:highlight w:val="yellow"/>
                <w:lang w:eastAsia="en-US"/>
              </w:rPr>
              <w:t>1</w:t>
            </w:r>
            <w:r w:rsidR="00BE2B92">
              <w:rPr>
                <w:rFonts w:eastAsia="Calibri"/>
                <w:b/>
                <w:bCs/>
                <w:highlight w:val="yellow"/>
                <w:lang w:eastAsia="en-US"/>
              </w:rPr>
              <w:t>5</w:t>
            </w:r>
            <w:r w:rsidRPr="009C21E8">
              <w:rPr>
                <w:rFonts w:eastAsia="Calibri"/>
                <w:b/>
                <w:bCs/>
                <w:highlight w:val="yellow"/>
                <w:lang w:eastAsia="en-US"/>
              </w:rPr>
              <w:t xml:space="preserve"> septembre 2026 à 16h00.</w:t>
            </w:r>
          </w:p>
          <w:p w:rsidR="00C76715" w:rsidRDefault="00C76715">
            <w:pPr>
              <w:spacing w:after="0" w:line="259" w:lineRule="auto"/>
              <w:ind w:left="0" w:firstLine="0"/>
              <w:rPr>
                <w:rFonts w:eastAsia="Calibri"/>
                <w:b/>
                <w:bCs/>
                <w:lang w:eastAsia="en-US"/>
              </w:rPr>
            </w:pPr>
          </w:p>
          <w:p w:rsidR="00C76715" w:rsidRDefault="00944E09">
            <w:pPr>
              <w:spacing w:after="0" w:line="259" w:lineRule="auto"/>
              <w:ind w:left="0" w:firstLine="0"/>
              <w:rPr>
                <w:rFonts w:eastAsia="Calibri"/>
                <w:b/>
                <w:bCs/>
                <w:lang w:eastAsia="en-US"/>
              </w:rPr>
            </w:pPr>
            <w:r>
              <w:rPr>
                <w:rFonts w:eastAsia="Calibri"/>
                <w:b/>
                <w:bCs/>
                <w:lang w:eastAsia="en-US"/>
              </w:rPr>
              <w:t>Offres :</w:t>
            </w:r>
          </w:p>
          <w:p w:rsidR="00C76715" w:rsidRDefault="00944E09">
            <w:pPr>
              <w:spacing w:after="0" w:line="259" w:lineRule="auto"/>
              <w:ind w:left="0" w:firstLine="0"/>
              <w:rPr>
                <w:rFonts w:eastAsia="Calibri"/>
                <w:color w:val="auto"/>
                <w:lang w:eastAsia="en-US"/>
              </w:rPr>
            </w:pPr>
            <w:r>
              <w:rPr>
                <w:rFonts w:eastAsia="Calibri"/>
                <w:bCs/>
                <w:lang w:eastAsia="en-US"/>
              </w:rPr>
              <w:t>La date limite de remise des offres sera fixée ultérieurement ; elle figurera dans la lettre de consultation envoyée aux candidats retenus.</w:t>
            </w:r>
          </w:p>
        </w:tc>
      </w:tr>
    </w:tbl>
    <w:p w:rsidR="00C76715" w:rsidRDefault="00C76715">
      <w:pPr>
        <w:spacing w:after="6439" w:line="259" w:lineRule="auto"/>
        <w:ind w:left="0" w:firstLine="0"/>
        <w:jc w:val="left"/>
      </w:pPr>
    </w:p>
    <w:p w:rsidR="00C76715" w:rsidRDefault="00C76715">
      <w:pPr>
        <w:pStyle w:val="Standard"/>
        <w:jc w:val="center"/>
        <w:rPr>
          <w:rFonts w:cs="Arial"/>
          <w:b/>
          <w:bCs/>
          <w:caps/>
          <w:sz w:val="22"/>
          <w:szCs w:val="22"/>
        </w:rPr>
      </w:pPr>
    </w:p>
    <w:p w:rsidR="00C76715" w:rsidRDefault="00944E09">
      <w:pPr>
        <w:pStyle w:val="Standard"/>
        <w:jc w:val="center"/>
        <w:rPr>
          <w:rFonts w:cs="Arial"/>
          <w:b/>
          <w:bCs/>
          <w:caps/>
          <w:sz w:val="22"/>
          <w:szCs w:val="22"/>
        </w:rPr>
      </w:pPr>
      <w:r>
        <w:rPr>
          <w:rFonts w:cs="Arial"/>
          <w:b/>
          <w:bCs/>
          <w:caps/>
          <w:sz w:val="22"/>
          <w:szCs w:val="22"/>
        </w:rPr>
        <w:t>Sommaire</w:t>
      </w:r>
    </w:p>
    <w:sdt>
      <w:sdtPr>
        <w:id w:val="-1226448753"/>
        <w:docPartObj>
          <w:docPartGallery w:val="Table of Contents"/>
          <w:docPartUnique/>
        </w:docPartObj>
      </w:sdtPr>
      <w:sdtEndPr/>
      <w:sdtContent>
        <w:p w:rsidR="00C76715" w:rsidRDefault="00944E09">
          <w:pPr>
            <w:pStyle w:val="TM1"/>
            <w:rPr>
              <w:rFonts w:asciiTheme="minorHAnsi" w:eastAsiaTheme="minorEastAsia" w:hAnsiTheme="minorHAnsi" w:cstheme="minorBidi"/>
              <w:color w:val="auto"/>
            </w:rPr>
          </w:pPr>
          <w:r>
            <w:fldChar w:fldCharType="begin"/>
          </w:r>
          <w:r>
            <w:rPr>
              <w:rStyle w:val="Sautdindex"/>
            </w:rPr>
            <w:instrText xml:space="preserve"> TOC \o "1-2" \u \h</w:instrText>
          </w:r>
          <w:r>
            <w:rPr>
              <w:rStyle w:val="Sautdindex"/>
            </w:rPr>
            <w:fldChar w:fldCharType="separate"/>
          </w:r>
          <w:hyperlink w:anchor="_Toc234336693">
            <w:r>
              <w:rPr>
                <w:rStyle w:val="Sautdindex"/>
              </w:rPr>
              <w:t>1</w:t>
            </w:r>
            <w:r>
              <w:rPr>
                <w:rStyle w:val="Sautdindex"/>
                <w:rFonts w:asciiTheme="minorHAnsi" w:eastAsiaTheme="minorEastAsia" w:hAnsiTheme="minorHAnsi" w:cstheme="minorBidi"/>
                <w:color w:val="auto"/>
              </w:rPr>
              <w:tab/>
            </w:r>
            <w:r>
              <w:rPr>
                <w:webHidden/>
              </w:rPr>
              <w:fldChar w:fldCharType="begin"/>
            </w:r>
            <w:r>
              <w:rPr>
                <w:webHidden/>
              </w:rPr>
              <w:instrText>PAGEREF _Toc234336693 \h</w:instrText>
            </w:r>
            <w:r>
              <w:rPr>
                <w:webHidden/>
              </w:rPr>
            </w:r>
            <w:r>
              <w:rPr>
                <w:webHidden/>
              </w:rPr>
              <w:fldChar w:fldCharType="separate"/>
            </w:r>
            <w:r>
              <w:rPr>
                <w:rStyle w:val="Sautdindex"/>
              </w:rPr>
              <w:t>POUVOIR ADJUDICATEUR</w:t>
            </w:r>
            <w:r>
              <w:rPr>
                <w:rStyle w:val="Sautdindex"/>
              </w:rPr>
              <w:tab/>
              <w:t>4</w:t>
            </w:r>
            <w:r>
              <w:rPr>
                <w:webHidden/>
              </w:rPr>
              <w:fldChar w:fldCharType="end"/>
            </w:r>
          </w:hyperlink>
        </w:p>
        <w:p w:rsidR="00C76715" w:rsidRDefault="00E417DC">
          <w:pPr>
            <w:pStyle w:val="TM1"/>
            <w:rPr>
              <w:rFonts w:asciiTheme="minorHAnsi" w:eastAsiaTheme="minorEastAsia" w:hAnsiTheme="minorHAnsi" w:cstheme="minorBidi"/>
              <w:color w:val="auto"/>
            </w:rPr>
          </w:pPr>
          <w:hyperlink w:anchor="_Toc234336694">
            <w:r w:rsidR="00944E09">
              <w:rPr>
                <w:rStyle w:val="Sautdindex"/>
              </w:rPr>
              <w:t>2</w:t>
            </w:r>
            <w:r w:rsidR="00944E09">
              <w:rPr>
                <w:rStyle w:val="Sautdindex"/>
                <w:rFonts w:asciiTheme="minorHAnsi" w:eastAsiaTheme="minorEastAsia" w:hAnsiTheme="minorHAnsi" w:cstheme="minorBidi"/>
                <w:color w:val="auto"/>
              </w:rPr>
              <w:tab/>
            </w:r>
            <w:r w:rsidR="00944E09">
              <w:rPr>
                <w:webHidden/>
              </w:rPr>
              <w:fldChar w:fldCharType="begin"/>
            </w:r>
            <w:r w:rsidR="00944E09">
              <w:rPr>
                <w:webHidden/>
              </w:rPr>
              <w:instrText>PAGEREF _Toc234336694 \h</w:instrText>
            </w:r>
            <w:r w:rsidR="00944E09">
              <w:rPr>
                <w:webHidden/>
              </w:rPr>
            </w:r>
            <w:r w:rsidR="00944E09">
              <w:rPr>
                <w:webHidden/>
              </w:rPr>
              <w:fldChar w:fldCharType="separate"/>
            </w:r>
            <w:r w:rsidR="00944E09">
              <w:rPr>
                <w:rStyle w:val="Sautdindex"/>
              </w:rPr>
              <w:t>OBJET DE LA CONSULTATION</w:t>
            </w:r>
            <w:r w:rsidR="00944E09">
              <w:rPr>
                <w:rStyle w:val="Sautdindex"/>
              </w:rPr>
              <w:tab/>
              <w:t>4</w:t>
            </w:r>
            <w:r w:rsidR="00944E09">
              <w:rPr>
                <w:webHidden/>
              </w:rPr>
              <w:fldChar w:fldCharType="end"/>
            </w:r>
          </w:hyperlink>
        </w:p>
        <w:p w:rsidR="00C76715" w:rsidRDefault="00E417DC">
          <w:pPr>
            <w:pStyle w:val="TM1"/>
            <w:rPr>
              <w:rFonts w:asciiTheme="minorHAnsi" w:eastAsiaTheme="minorEastAsia" w:hAnsiTheme="minorHAnsi" w:cstheme="minorBidi"/>
              <w:color w:val="auto"/>
            </w:rPr>
          </w:pPr>
          <w:hyperlink w:anchor="_Toc234336695">
            <w:r w:rsidR="00944E09">
              <w:rPr>
                <w:rStyle w:val="Sautdindex"/>
              </w:rPr>
              <w:t>3</w:t>
            </w:r>
            <w:r w:rsidR="00944E09">
              <w:rPr>
                <w:rStyle w:val="Sautdindex"/>
                <w:rFonts w:asciiTheme="minorHAnsi" w:eastAsiaTheme="minorEastAsia" w:hAnsiTheme="minorHAnsi" w:cstheme="minorBidi"/>
                <w:color w:val="auto"/>
              </w:rPr>
              <w:tab/>
            </w:r>
            <w:r w:rsidR="00944E09">
              <w:rPr>
                <w:webHidden/>
              </w:rPr>
              <w:fldChar w:fldCharType="begin"/>
            </w:r>
            <w:r w:rsidR="00944E09">
              <w:rPr>
                <w:webHidden/>
              </w:rPr>
              <w:instrText>PAGEREF _Toc234336695 \h</w:instrText>
            </w:r>
            <w:r w:rsidR="00944E09">
              <w:rPr>
                <w:webHidden/>
              </w:rPr>
            </w:r>
            <w:r w:rsidR="00944E09">
              <w:rPr>
                <w:webHidden/>
              </w:rPr>
              <w:fldChar w:fldCharType="separate"/>
            </w:r>
            <w:r w:rsidR="00944E09">
              <w:rPr>
                <w:rStyle w:val="Sautdindex"/>
              </w:rPr>
              <w:t>CONDITIONS DE LA CONSULTATION</w:t>
            </w:r>
            <w:r w:rsidR="00944E09">
              <w:rPr>
                <w:rStyle w:val="Sautdindex"/>
              </w:rPr>
              <w:tab/>
              <w:t>4</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696">
            <w:r w:rsidR="00944E09">
              <w:rPr>
                <w:rStyle w:val="Sautdindex"/>
              </w:rPr>
              <w:t>3.1</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_Toc234336696 \h</w:instrText>
            </w:r>
            <w:r w:rsidR="00944E09">
              <w:rPr>
                <w:webHidden/>
              </w:rPr>
            </w:r>
            <w:r w:rsidR="00944E09">
              <w:rPr>
                <w:webHidden/>
              </w:rPr>
              <w:fldChar w:fldCharType="separate"/>
            </w:r>
            <w:r w:rsidR="00944E09">
              <w:rPr>
                <w:rStyle w:val="Sautdindex"/>
              </w:rPr>
              <w:t>Procédure de passation</w:t>
            </w:r>
            <w:r w:rsidR="00944E09">
              <w:rPr>
                <w:rStyle w:val="Sautdindex"/>
              </w:rPr>
              <w:tab/>
              <w:t>4</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697">
            <w:r w:rsidR="00944E09">
              <w:rPr>
                <w:rStyle w:val="Sautdindex"/>
              </w:rPr>
              <w:t>3.2</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_Toc234336697 \h</w:instrText>
            </w:r>
            <w:r w:rsidR="00944E09">
              <w:rPr>
                <w:webHidden/>
              </w:rPr>
            </w:r>
            <w:r w:rsidR="00944E09">
              <w:rPr>
                <w:webHidden/>
              </w:rPr>
              <w:fldChar w:fldCharType="separate"/>
            </w:r>
            <w:r w:rsidR="00944E09">
              <w:rPr>
                <w:rStyle w:val="Sautdindex"/>
              </w:rPr>
              <w:t>Allotissement</w:t>
            </w:r>
            <w:r w:rsidR="00944E09">
              <w:rPr>
                <w:rStyle w:val="Sautdindex"/>
              </w:rPr>
              <w:tab/>
              <w:t>5</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698">
            <w:r w:rsidR="00944E09">
              <w:rPr>
                <w:rStyle w:val="Sautdindex"/>
              </w:rPr>
              <w:t>3.3</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_Toc234336698 \h</w:instrText>
            </w:r>
            <w:r w:rsidR="00944E09">
              <w:rPr>
                <w:webHidden/>
              </w:rPr>
            </w:r>
            <w:r w:rsidR="00944E09">
              <w:rPr>
                <w:webHidden/>
              </w:rPr>
              <w:fldChar w:fldCharType="separate"/>
            </w:r>
            <w:r w:rsidR="00944E09">
              <w:rPr>
                <w:rStyle w:val="Sautdindex"/>
              </w:rPr>
              <w:t>Tranches</w:t>
            </w:r>
            <w:r w:rsidR="00944E09">
              <w:rPr>
                <w:rStyle w:val="Sautdindex"/>
              </w:rPr>
              <w:tab/>
              <w:t>5</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699">
            <w:r w:rsidR="00944E09">
              <w:rPr>
                <w:rStyle w:val="Sautdindex"/>
              </w:rPr>
              <w:t>3.4</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_Toc234336699 \h</w:instrText>
            </w:r>
            <w:r w:rsidR="00944E09">
              <w:rPr>
                <w:webHidden/>
              </w:rPr>
            </w:r>
            <w:r w:rsidR="00944E09">
              <w:rPr>
                <w:webHidden/>
              </w:rPr>
              <w:fldChar w:fldCharType="separate"/>
            </w:r>
            <w:r w:rsidR="00944E09">
              <w:rPr>
                <w:rStyle w:val="Sautdindex"/>
              </w:rPr>
              <w:t>Durée du marché</w:t>
            </w:r>
            <w:r w:rsidR="00944E09">
              <w:rPr>
                <w:rStyle w:val="Sautdindex"/>
              </w:rPr>
              <w:tab/>
              <w:t>5</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700">
            <w:r w:rsidR="00944E09">
              <w:rPr>
                <w:rStyle w:val="Sautdindex"/>
              </w:rPr>
              <w:t>3.5</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_Toc234336700 \h</w:instrText>
            </w:r>
            <w:r w:rsidR="00944E09">
              <w:rPr>
                <w:webHidden/>
              </w:rPr>
            </w:r>
            <w:r w:rsidR="00944E09">
              <w:rPr>
                <w:webHidden/>
              </w:rPr>
              <w:fldChar w:fldCharType="separate"/>
            </w:r>
            <w:r w:rsidR="00944E09">
              <w:rPr>
                <w:rStyle w:val="Sautdindex"/>
              </w:rPr>
              <w:t>Lieu d’exécution</w:t>
            </w:r>
            <w:r w:rsidR="00944E09">
              <w:rPr>
                <w:rStyle w:val="Sautdindex"/>
              </w:rPr>
              <w:tab/>
              <w:t>5</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701">
            <w:r w:rsidR="00944E09">
              <w:rPr>
                <w:rStyle w:val="Sautdindex"/>
              </w:rPr>
              <w:t>3.6</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_Toc234336701 \h</w:instrText>
            </w:r>
            <w:r w:rsidR="00944E09">
              <w:rPr>
                <w:webHidden/>
              </w:rPr>
            </w:r>
            <w:r w:rsidR="00944E09">
              <w:rPr>
                <w:webHidden/>
              </w:rPr>
              <w:fldChar w:fldCharType="separate"/>
            </w:r>
            <w:r w:rsidR="00944E09">
              <w:rPr>
                <w:rStyle w:val="Sautdindex"/>
              </w:rPr>
              <w:t>Variantes</w:t>
            </w:r>
            <w:r w:rsidR="00944E09">
              <w:rPr>
                <w:rStyle w:val="Sautdindex"/>
              </w:rPr>
              <w:tab/>
              <w:t>5</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702">
            <w:r w:rsidR="00944E09">
              <w:rPr>
                <w:rStyle w:val="Sautdindex"/>
              </w:rPr>
              <w:t>3.7</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_Toc234336702 \h</w:instrText>
            </w:r>
            <w:r w:rsidR="00944E09">
              <w:rPr>
                <w:webHidden/>
              </w:rPr>
            </w:r>
            <w:r w:rsidR="00944E09">
              <w:rPr>
                <w:webHidden/>
              </w:rPr>
              <w:fldChar w:fldCharType="separate"/>
            </w:r>
            <w:r w:rsidR="00944E09">
              <w:rPr>
                <w:rStyle w:val="Sautdindex"/>
              </w:rPr>
              <w:t>Prestations supplémentaires éventuelles</w:t>
            </w:r>
            <w:r w:rsidR="00944E09">
              <w:rPr>
                <w:rStyle w:val="Sautdindex"/>
              </w:rPr>
              <w:tab/>
              <w:t>5</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703">
            <w:r w:rsidR="00944E09">
              <w:rPr>
                <w:rStyle w:val="Sautdindex"/>
              </w:rPr>
              <w:t>3.8</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_Toc234336703 \h</w:instrText>
            </w:r>
            <w:r w:rsidR="00944E09">
              <w:rPr>
                <w:webHidden/>
              </w:rPr>
            </w:r>
            <w:r w:rsidR="00944E09">
              <w:rPr>
                <w:webHidden/>
              </w:rPr>
              <w:fldChar w:fldCharType="separate"/>
            </w:r>
            <w:r w:rsidR="00944E09">
              <w:rPr>
                <w:rStyle w:val="Sautdindex"/>
              </w:rPr>
              <w:t>Considérations sociales</w:t>
            </w:r>
            <w:r w:rsidR="00944E09">
              <w:rPr>
                <w:rStyle w:val="Sautdindex"/>
              </w:rPr>
              <w:tab/>
              <w:t>5</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704">
            <w:r w:rsidR="00944E09">
              <w:rPr>
                <w:rStyle w:val="Sautdindex"/>
              </w:rPr>
              <w:t>3.9</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_Toc234336704 \h</w:instrText>
            </w:r>
            <w:r w:rsidR="00944E09">
              <w:rPr>
                <w:webHidden/>
              </w:rPr>
            </w:r>
            <w:r w:rsidR="00944E09">
              <w:rPr>
                <w:webHidden/>
              </w:rPr>
              <w:fldChar w:fldCharType="separate"/>
            </w:r>
            <w:r w:rsidR="00944E09">
              <w:rPr>
                <w:rStyle w:val="Sautdindex"/>
              </w:rPr>
              <w:t>Considérations environnementales</w:t>
            </w:r>
            <w:r w:rsidR="00944E09">
              <w:rPr>
                <w:rStyle w:val="Sautdindex"/>
              </w:rPr>
              <w:tab/>
              <w:t>6</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705">
            <w:r w:rsidR="00944E09">
              <w:rPr>
                <w:rStyle w:val="Sautdindex"/>
              </w:rPr>
              <w:t>3.10</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_Toc234336705 \h</w:instrText>
            </w:r>
            <w:r w:rsidR="00944E09">
              <w:rPr>
                <w:webHidden/>
              </w:rPr>
            </w:r>
            <w:r w:rsidR="00944E09">
              <w:rPr>
                <w:webHidden/>
              </w:rPr>
              <w:fldChar w:fldCharType="separate"/>
            </w:r>
            <w:r w:rsidR="00944E09">
              <w:rPr>
                <w:rStyle w:val="Sautdindex"/>
              </w:rPr>
              <w:t>Traitement de données à caractère personnel</w:t>
            </w:r>
            <w:r w:rsidR="00944E09">
              <w:rPr>
                <w:rStyle w:val="Sautdindex"/>
              </w:rPr>
              <w:tab/>
              <w:t>6</w:t>
            </w:r>
            <w:r w:rsidR="00944E09">
              <w:rPr>
                <w:webHidden/>
              </w:rPr>
              <w:fldChar w:fldCharType="end"/>
            </w:r>
          </w:hyperlink>
        </w:p>
        <w:p w:rsidR="00C76715" w:rsidRDefault="00E417DC">
          <w:pPr>
            <w:pStyle w:val="TM1"/>
            <w:rPr>
              <w:rFonts w:asciiTheme="minorHAnsi" w:eastAsiaTheme="minorEastAsia" w:hAnsiTheme="minorHAnsi" w:cstheme="minorBidi"/>
              <w:color w:val="auto"/>
            </w:rPr>
          </w:pPr>
          <w:hyperlink w:anchor="_Toc234336706">
            <w:r w:rsidR="00944E09">
              <w:rPr>
                <w:rStyle w:val="Sautdindex"/>
              </w:rPr>
              <w:t>4</w:t>
            </w:r>
            <w:r w:rsidR="00944E09">
              <w:rPr>
                <w:rStyle w:val="Sautdindex"/>
                <w:rFonts w:asciiTheme="minorHAnsi" w:eastAsiaTheme="minorEastAsia" w:hAnsiTheme="minorHAnsi" w:cstheme="minorBidi"/>
                <w:color w:val="auto"/>
              </w:rPr>
              <w:tab/>
            </w:r>
            <w:r w:rsidR="00944E09">
              <w:rPr>
                <w:webHidden/>
              </w:rPr>
              <w:fldChar w:fldCharType="begin"/>
            </w:r>
            <w:r w:rsidR="00944E09">
              <w:rPr>
                <w:webHidden/>
              </w:rPr>
              <w:instrText>PAGEREF _Toc234336706 \h</w:instrText>
            </w:r>
            <w:r w:rsidR="00944E09">
              <w:rPr>
                <w:webHidden/>
              </w:rPr>
            </w:r>
            <w:r w:rsidR="00944E09">
              <w:rPr>
                <w:webHidden/>
              </w:rPr>
              <w:fldChar w:fldCharType="separate"/>
            </w:r>
            <w:r w:rsidR="00944E09">
              <w:rPr>
                <w:rStyle w:val="Sautdindex"/>
              </w:rPr>
              <w:t>INFORMATION AUX CANDIDATS</w:t>
            </w:r>
            <w:r w:rsidR="00944E09">
              <w:rPr>
                <w:rStyle w:val="Sautdindex"/>
              </w:rPr>
              <w:tab/>
              <w:t>7</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707">
            <w:r w:rsidR="00944E09">
              <w:rPr>
                <w:rStyle w:val="Sautdindex"/>
              </w:rPr>
              <w:t>4.1</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_Toc234336707 \h</w:instrText>
            </w:r>
            <w:r w:rsidR="00944E09">
              <w:rPr>
                <w:webHidden/>
              </w:rPr>
            </w:r>
            <w:r w:rsidR="00944E09">
              <w:rPr>
                <w:webHidden/>
              </w:rPr>
              <w:fldChar w:fldCharType="separate"/>
            </w:r>
            <w:r w:rsidR="00944E09">
              <w:rPr>
                <w:rStyle w:val="Sautdindex"/>
              </w:rPr>
              <w:t>Contenu des documents de la consultation</w:t>
            </w:r>
            <w:r w:rsidR="00944E09">
              <w:rPr>
                <w:rStyle w:val="Sautdindex"/>
              </w:rPr>
              <w:tab/>
              <w:t>7</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708">
            <w:r w:rsidR="00944E09">
              <w:rPr>
                <w:rStyle w:val="Sautdindex"/>
              </w:rPr>
              <w:t>4.2</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_Toc234336708 \h</w:instrText>
            </w:r>
            <w:r w:rsidR="00944E09">
              <w:rPr>
                <w:webHidden/>
              </w:rPr>
            </w:r>
            <w:r w:rsidR="00944E09">
              <w:rPr>
                <w:webHidden/>
              </w:rPr>
              <w:fldChar w:fldCharType="separate"/>
            </w:r>
            <w:r w:rsidR="00944E09">
              <w:rPr>
                <w:rStyle w:val="Sautdindex"/>
              </w:rPr>
              <w:t>Modalités de retrait et de consultation des documents</w:t>
            </w:r>
            <w:r w:rsidR="00944E09">
              <w:rPr>
                <w:rStyle w:val="Sautdindex"/>
              </w:rPr>
              <w:tab/>
              <w:t>7</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709">
            <w:r w:rsidR="00944E09">
              <w:rPr>
                <w:rStyle w:val="Sautdindex"/>
              </w:rPr>
              <w:t>4.3</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_Toc234336709 \h</w:instrText>
            </w:r>
            <w:r w:rsidR="00944E09">
              <w:rPr>
                <w:webHidden/>
              </w:rPr>
            </w:r>
            <w:r w:rsidR="00944E09">
              <w:rPr>
                <w:webHidden/>
              </w:rPr>
              <w:fldChar w:fldCharType="separate"/>
            </w:r>
            <w:r w:rsidR="00944E09">
              <w:rPr>
                <w:rStyle w:val="Sautdindex"/>
              </w:rPr>
              <w:t>Demandes de renseignements complémentaires et questions</w:t>
            </w:r>
            <w:r w:rsidR="00944E09">
              <w:rPr>
                <w:rStyle w:val="Sautdindex"/>
              </w:rPr>
              <w:tab/>
              <w:t>7</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710">
            <w:r w:rsidR="00944E09">
              <w:rPr>
                <w:rStyle w:val="Sautdindex"/>
              </w:rPr>
              <w:t>4.4</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_Toc234336710 \h</w:instrText>
            </w:r>
            <w:r w:rsidR="00944E09">
              <w:rPr>
                <w:webHidden/>
              </w:rPr>
            </w:r>
            <w:r w:rsidR="00944E09">
              <w:rPr>
                <w:webHidden/>
              </w:rPr>
              <w:fldChar w:fldCharType="separate"/>
            </w:r>
            <w:r w:rsidR="00944E09">
              <w:rPr>
                <w:rStyle w:val="Sautdindex"/>
              </w:rPr>
              <w:t>Modification des documents de la consultation</w:t>
            </w:r>
            <w:r w:rsidR="00944E09">
              <w:rPr>
                <w:rStyle w:val="Sautdindex"/>
              </w:rPr>
              <w:tab/>
              <w:t>8</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711">
            <w:r w:rsidR="00944E09">
              <w:rPr>
                <w:rStyle w:val="Sautdindex"/>
              </w:rPr>
              <w:t>4.5</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_Toc234336711 \h</w:instrText>
            </w:r>
            <w:r w:rsidR="00944E09">
              <w:rPr>
                <w:webHidden/>
              </w:rPr>
            </w:r>
            <w:r w:rsidR="00944E09">
              <w:rPr>
                <w:webHidden/>
              </w:rPr>
              <w:fldChar w:fldCharType="separate"/>
            </w:r>
            <w:r w:rsidR="00944E09">
              <w:rPr>
                <w:rStyle w:val="Sautdindex"/>
              </w:rPr>
              <w:t>Visite sur site obligatoire avant la remise des offres</w:t>
            </w:r>
            <w:r w:rsidR="00944E09">
              <w:rPr>
                <w:rStyle w:val="Sautdindex"/>
              </w:rPr>
              <w:tab/>
              <w:t>8</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712">
            <w:r w:rsidR="00944E09">
              <w:rPr>
                <w:rStyle w:val="Sautdindex"/>
              </w:rPr>
              <w:t>4.6</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_Toc234336712 \h</w:instrText>
            </w:r>
            <w:r w:rsidR="00944E09">
              <w:rPr>
                <w:webHidden/>
              </w:rPr>
            </w:r>
            <w:r w:rsidR="00944E09">
              <w:rPr>
                <w:webHidden/>
              </w:rPr>
              <w:fldChar w:fldCharType="separate"/>
            </w:r>
            <w:r w:rsidR="00944E09">
              <w:rPr>
                <w:rStyle w:val="Sautdindex"/>
              </w:rPr>
              <w:t>Modalités de transmission des plis</w:t>
            </w:r>
            <w:r w:rsidR="00944E09">
              <w:rPr>
                <w:rStyle w:val="Sautdindex"/>
              </w:rPr>
              <w:tab/>
              <w:t>8</w:t>
            </w:r>
            <w:r w:rsidR="00944E09">
              <w:rPr>
                <w:webHidden/>
              </w:rPr>
              <w:fldChar w:fldCharType="end"/>
            </w:r>
          </w:hyperlink>
        </w:p>
        <w:p w:rsidR="00C76715" w:rsidRDefault="00E417DC">
          <w:pPr>
            <w:pStyle w:val="TM1"/>
            <w:rPr>
              <w:rFonts w:asciiTheme="minorHAnsi" w:eastAsiaTheme="minorEastAsia" w:hAnsiTheme="minorHAnsi" w:cstheme="minorBidi"/>
              <w:color w:val="auto"/>
            </w:rPr>
          </w:pPr>
          <w:hyperlink w:anchor="_Toc234336713">
            <w:r w:rsidR="00944E09">
              <w:rPr>
                <w:rStyle w:val="Sautdindex"/>
              </w:rPr>
              <w:t>5</w:t>
            </w:r>
            <w:r w:rsidR="00944E09">
              <w:rPr>
                <w:rStyle w:val="Sautdindex"/>
                <w:rFonts w:asciiTheme="minorHAnsi" w:eastAsiaTheme="minorEastAsia" w:hAnsiTheme="minorHAnsi" w:cstheme="minorBidi"/>
                <w:color w:val="auto"/>
              </w:rPr>
              <w:tab/>
            </w:r>
            <w:r w:rsidR="00944E09">
              <w:rPr>
                <w:webHidden/>
              </w:rPr>
              <w:fldChar w:fldCharType="begin"/>
            </w:r>
            <w:r w:rsidR="00944E09">
              <w:rPr>
                <w:webHidden/>
              </w:rPr>
              <w:instrText>PAGEREF _Toc234336713 \h</w:instrText>
            </w:r>
            <w:r w:rsidR="00944E09">
              <w:rPr>
                <w:webHidden/>
              </w:rPr>
            </w:r>
            <w:r w:rsidR="00944E09">
              <w:rPr>
                <w:webHidden/>
              </w:rPr>
              <w:fldChar w:fldCharType="separate"/>
            </w:r>
            <w:r w:rsidR="00944E09">
              <w:rPr>
                <w:rStyle w:val="Sautdindex"/>
              </w:rPr>
              <w:t>CANDIDATURE</w:t>
            </w:r>
            <w:r w:rsidR="00944E09">
              <w:rPr>
                <w:rStyle w:val="Sautdindex"/>
              </w:rPr>
              <w:tab/>
              <w:t>11</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714">
            <w:r w:rsidR="00944E09">
              <w:rPr>
                <w:rStyle w:val="Sautdindex"/>
              </w:rPr>
              <w:t>5.1</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_Toc234336714 \h</w:instrText>
            </w:r>
            <w:r w:rsidR="00944E09">
              <w:rPr>
                <w:webHidden/>
              </w:rPr>
            </w:r>
            <w:r w:rsidR="00944E09">
              <w:rPr>
                <w:webHidden/>
              </w:rPr>
              <w:fldChar w:fldCharType="separate"/>
            </w:r>
            <w:r w:rsidR="00944E09">
              <w:rPr>
                <w:rStyle w:val="Sautdindex"/>
              </w:rPr>
              <w:t>Présentation de la candidature</w:t>
            </w:r>
            <w:r w:rsidR="00944E09">
              <w:rPr>
                <w:rStyle w:val="Sautdindex"/>
              </w:rPr>
              <w:tab/>
              <w:t>11</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715">
            <w:r w:rsidR="00944E09">
              <w:rPr>
                <w:rStyle w:val="Sautdindex"/>
              </w:rPr>
              <w:t>5.2</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_Toc234336715 \h</w:instrText>
            </w:r>
            <w:r w:rsidR="00944E09">
              <w:rPr>
                <w:webHidden/>
              </w:rPr>
            </w:r>
            <w:r w:rsidR="00944E09">
              <w:rPr>
                <w:webHidden/>
              </w:rPr>
              <w:fldChar w:fldCharType="separate"/>
            </w:r>
            <w:r w:rsidR="00944E09">
              <w:rPr>
                <w:rStyle w:val="Sautdindex"/>
              </w:rPr>
              <w:t>Précisions concernant les groupements d’opérateurs économique et les sous-contrats</w:t>
            </w:r>
            <w:r w:rsidR="00944E09">
              <w:rPr>
                <w:rStyle w:val="Sautdindex"/>
              </w:rPr>
              <w:tab/>
              <w:t>13</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716">
            <w:r w:rsidR="00944E09">
              <w:rPr>
                <w:rStyle w:val="Sautdindex"/>
              </w:rPr>
              <w:t>5.3</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_Toc234336716 \h</w:instrText>
            </w:r>
            <w:r w:rsidR="00944E09">
              <w:rPr>
                <w:webHidden/>
              </w:rPr>
            </w:r>
            <w:r w:rsidR="00944E09">
              <w:rPr>
                <w:webHidden/>
              </w:rPr>
              <w:fldChar w:fldCharType="separate"/>
            </w:r>
            <w:r w:rsidR="00944E09">
              <w:rPr>
                <w:rStyle w:val="Sautdindex"/>
              </w:rPr>
              <w:t>Conditions de Participation</w:t>
            </w:r>
            <w:r w:rsidR="00944E09">
              <w:rPr>
                <w:rStyle w:val="Sautdindex"/>
              </w:rPr>
              <w:tab/>
              <w:t>13</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717">
            <w:r w:rsidR="00944E09">
              <w:rPr>
                <w:rStyle w:val="Sautdindex"/>
              </w:rPr>
              <w:t>5.4</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_Toc234336717 \h</w:instrText>
            </w:r>
            <w:r w:rsidR="00944E09">
              <w:rPr>
                <w:webHidden/>
              </w:rPr>
            </w:r>
            <w:r w:rsidR="00944E09">
              <w:rPr>
                <w:webHidden/>
              </w:rPr>
              <w:fldChar w:fldCharType="separate"/>
            </w:r>
            <w:r w:rsidR="00944E09">
              <w:rPr>
                <w:rStyle w:val="Sautdindex"/>
              </w:rPr>
              <w:t>Examen des candidatures</w:t>
            </w:r>
            <w:r w:rsidR="00944E09">
              <w:rPr>
                <w:rStyle w:val="Sautdindex"/>
              </w:rPr>
              <w:tab/>
              <w:t>14</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718">
            <w:r w:rsidR="00944E09">
              <w:rPr>
                <w:rStyle w:val="Sautdindex"/>
              </w:rPr>
              <w:t>5.5</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_Toc234336718 \h</w:instrText>
            </w:r>
            <w:r w:rsidR="00944E09">
              <w:rPr>
                <w:webHidden/>
              </w:rPr>
            </w:r>
            <w:r w:rsidR="00944E09">
              <w:rPr>
                <w:webHidden/>
              </w:rPr>
              <w:fldChar w:fldCharType="separate"/>
            </w:r>
            <w:r w:rsidR="00944E09">
              <w:rPr>
                <w:rStyle w:val="Sautdindex"/>
              </w:rPr>
              <w:t>Vérification des conditions de participation : liste des documents justificatifs des capacités professionnelles, techniques et financières</w:t>
            </w:r>
            <w:r w:rsidR="00944E09">
              <w:rPr>
                <w:rStyle w:val="Sautdindex"/>
              </w:rPr>
              <w:tab/>
              <w:t>14</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719">
            <w:r w:rsidR="00944E09">
              <w:rPr>
                <w:rStyle w:val="Sautdindex"/>
              </w:rPr>
              <w:t>5.6</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_Toc234336719 \h</w:instrText>
            </w:r>
            <w:r w:rsidR="00944E09">
              <w:rPr>
                <w:webHidden/>
              </w:rPr>
            </w:r>
            <w:r w:rsidR="00944E09">
              <w:rPr>
                <w:webHidden/>
              </w:rPr>
              <w:fldChar w:fldCharType="separate"/>
            </w:r>
            <w:r w:rsidR="00944E09">
              <w:rPr>
                <w:rStyle w:val="Sautdindex"/>
              </w:rPr>
              <w:t>Limitation du nombre de candidats autorisés à soumissionner</w:t>
            </w:r>
            <w:r w:rsidR="00944E09">
              <w:rPr>
                <w:rStyle w:val="Sautdindex"/>
              </w:rPr>
              <w:tab/>
              <w:t>16</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720">
            <w:r w:rsidR="00944E09">
              <w:rPr>
                <w:rStyle w:val="Sautdindex"/>
              </w:rPr>
              <w:t>5.7</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_Toc234336720 \h</w:instrText>
            </w:r>
            <w:r w:rsidR="00944E09">
              <w:rPr>
                <w:webHidden/>
              </w:rPr>
            </w:r>
            <w:r w:rsidR="00944E09">
              <w:rPr>
                <w:webHidden/>
              </w:rPr>
              <w:fldChar w:fldCharType="separate"/>
            </w:r>
            <w:r w:rsidR="00944E09">
              <w:rPr>
                <w:rStyle w:val="Sautdindex"/>
              </w:rPr>
              <w:t>Exclusion de la procédure</w:t>
            </w:r>
            <w:r w:rsidR="00944E09">
              <w:rPr>
                <w:rStyle w:val="Sautdindex"/>
              </w:rPr>
              <w:tab/>
              <w:t>16</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721">
            <w:r w:rsidR="00944E09">
              <w:rPr>
                <w:rStyle w:val="Sautdindex"/>
              </w:rPr>
              <w:t>5.8</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_Toc234336721 \h</w:instrText>
            </w:r>
            <w:r w:rsidR="00944E09">
              <w:rPr>
                <w:webHidden/>
              </w:rPr>
            </w:r>
            <w:r w:rsidR="00944E09">
              <w:rPr>
                <w:webHidden/>
              </w:rPr>
              <w:fldChar w:fldCharType="separate"/>
            </w:r>
            <w:r w:rsidR="00944E09">
              <w:rPr>
                <w:rStyle w:val="Sautdindex"/>
              </w:rPr>
              <w:t>Vérification des motifs d’exclusion</w:t>
            </w:r>
            <w:r w:rsidR="00944E09">
              <w:rPr>
                <w:rStyle w:val="Sautdindex"/>
              </w:rPr>
              <w:tab/>
              <w:t>17</w:t>
            </w:r>
            <w:r w:rsidR="00944E09">
              <w:rPr>
                <w:webHidden/>
              </w:rPr>
              <w:fldChar w:fldCharType="end"/>
            </w:r>
          </w:hyperlink>
        </w:p>
        <w:p w:rsidR="00C76715" w:rsidRDefault="00E417DC">
          <w:pPr>
            <w:pStyle w:val="TM1"/>
            <w:rPr>
              <w:rFonts w:asciiTheme="minorHAnsi" w:eastAsiaTheme="minorEastAsia" w:hAnsiTheme="minorHAnsi" w:cstheme="minorBidi"/>
              <w:color w:val="auto"/>
            </w:rPr>
          </w:pPr>
          <w:hyperlink w:anchor="_Toc234336722">
            <w:r w:rsidR="00944E09">
              <w:rPr>
                <w:rStyle w:val="Sautdindex"/>
              </w:rPr>
              <w:t>6</w:t>
            </w:r>
            <w:r w:rsidR="00944E09">
              <w:rPr>
                <w:rStyle w:val="Sautdindex"/>
                <w:rFonts w:asciiTheme="minorHAnsi" w:eastAsiaTheme="minorEastAsia" w:hAnsiTheme="minorHAnsi" w:cstheme="minorBidi"/>
                <w:color w:val="auto"/>
              </w:rPr>
              <w:tab/>
            </w:r>
            <w:r w:rsidR="00944E09">
              <w:rPr>
                <w:webHidden/>
              </w:rPr>
              <w:fldChar w:fldCharType="begin"/>
            </w:r>
            <w:r w:rsidR="00944E09">
              <w:rPr>
                <w:webHidden/>
              </w:rPr>
              <w:instrText>PAGEREF _Toc234336722 \h</w:instrText>
            </w:r>
            <w:r w:rsidR="00944E09">
              <w:rPr>
                <w:webHidden/>
              </w:rPr>
            </w:r>
            <w:r w:rsidR="00944E09">
              <w:rPr>
                <w:webHidden/>
              </w:rPr>
              <w:fldChar w:fldCharType="separate"/>
            </w:r>
            <w:r w:rsidR="00944E09">
              <w:rPr>
                <w:rStyle w:val="Sautdindex"/>
              </w:rPr>
              <w:t>OFFRE</w:t>
            </w:r>
            <w:r w:rsidR="00944E09">
              <w:rPr>
                <w:rStyle w:val="Sautdindex"/>
              </w:rPr>
              <w:tab/>
              <w:t>17</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723">
            <w:r w:rsidR="00944E09">
              <w:rPr>
                <w:rStyle w:val="Sautdindex"/>
              </w:rPr>
              <w:t>6.1</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_Toc234336723 \h</w:instrText>
            </w:r>
            <w:r w:rsidR="00944E09">
              <w:rPr>
                <w:webHidden/>
              </w:rPr>
            </w:r>
            <w:r w:rsidR="00944E09">
              <w:rPr>
                <w:webHidden/>
              </w:rPr>
              <w:fldChar w:fldCharType="separate"/>
            </w:r>
            <w:r w:rsidR="00944E09">
              <w:rPr>
                <w:rStyle w:val="Sautdindex"/>
              </w:rPr>
              <w:t>Offre</w:t>
            </w:r>
            <w:r w:rsidR="00944E09">
              <w:rPr>
                <w:rStyle w:val="Sautdindex"/>
              </w:rPr>
              <w:tab/>
              <w:t>17</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724">
            <w:r w:rsidR="00944E09">
              <w:rPr>
                <w:rStyle w:val="Sautdindex"/>
              </w:rPr>
              <w:t>6.2</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_Toc234336724 \h</w:instrText>
            </w:r>
            <w:r w:rsidR="00944E09">
              <w:rPr>
                <w:webHidden/>
              </w:rPr>
            </w:r>
            <w:r w:rsidR="00944E09">
              <w:rPr>
                <w:webHidden/>
              </w:rPr>
              <w:fldChar w:fldCharType="separate"/>
            </w:r>
            <w:r w:rsidR="00944E09">
              <w:rPr>
                <w:rStyle w:val="Sautdindex"/>
              </w:rPr>
              <w:t>Examen des offres</w:t>
            </w:r>
            <w:r w:rsidR="00944E09">
              <w:rPr>
                <w:rStyle w:val="Sautdindex"/>
              </w:rPr>
              <w:tab/>
              <w:t>17</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725">
            <w:r w:rsidR="00944E09">
              <w:rPr>
                <w:rStyle w:val="Sautdindex"/>
              </w:rPr>
              <w:t>6.3</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_Toc234336725 \h</w:instrText>
            </w:r>
            <w:r w:rsidR="00944E09">
              <w:rPr>
                <w:webHidden/>
              </w:rPr>
            </w:r>
            <w:r w:rsidR="00944E09">
              <w:rPr>
                <w:webHidden/>
              </w:rPr>
              <w:fldChar w:fldCharType="separate"/>
            </w:r>
            <w:r w:rsidR="00944E09">
              <w:rPr>
                <w:rStyle w:val="Sautdindex"/>
              </w:rPr>
              <w:t>Durée de validité des offres</w:t>
            </w:r>
            <w:r w:rsidR="00944E09">
              <w:rPr>
                <w:rStyle w:val="Sautdindex"/>
              </w:rPr>
              <w:tab/>
              <w:t>18</w:t>
            </w:r>
            <w:r w:rsidR="00944E09">
              <w:rPr>
                <w:webHidden/>
              </w:rPr>
              <w:fldChar w:fldCharType="end"/>
            </w:r>
          </w:hyperlink>
        </w:p>
        <w:p w:rsidR="00C76715" w:rsidRDefault="00E417DC">
          <w:pPr>
            <w:pStyle w:val="TM1"/>
            <w:rPr>
              <w:rFonts w:asciiTheme="minorHAnsi" w:eastAsiaTheme="minorEastAsia" w:hAnsiTheme="minorHAnsi" w:cstheme="minorBidi"/>
              <w:color w:val="auto"/>
            </w:rPr>
          </w:pPr>
          <w:hyperlink w:anchor="_Toc234336726">
            <w:r w:rsidR="00944E09">
              <w:rPr>
                <w:rStyle w:val="Sautdindex"/>
              </w:rPr>
              <w:t>7</w:t>
            </w:r>
            <w:r w:rsidR="00944E09">
              <w:rPr>
                <w:rStyle w:val="Sautdindex"/>
                <w:rFonts w:asciiTheme="minorHAnsi" w:eastAsiaTheme="minorEastAsia" w:hAnsiTheme="minorHAnsi" w:cstheme="minorBidi"/>
                <w:color w:val="auto"/>
              </w:rPr>
              <w:tab/>
            </w:r>
            <w:r w:rsidR="00944E09">
              <w:rPr>
                <w:webHidden/>
              </w:rPr>
              <w:fldChar w:fldCharType="begin"/>
            </w:r>
            <w:r w:rsidR="00944E09">
              <w:rPr>
                <w:webHidden/>
              </w:rPr>
              <w:instrText>PAGEREF _Toc234336726 \h</w:instrText>
            </w:r>
            <w:r w:rsidR="00944E09">
              <w:rPr>
                <w:webHidden/>
              </w:rPr>
            </w:r>
            <w:r w:rsidR="00944E09">
              <w:rPr>
                <w:webHidden/>
              </w:rPr>
              <w:fldChar w:fldCharType="separate"/>
            </w:r>
            <w:r w:rsidR="00944E09">
              <w:rPr>
                <w:rStyle w:val="Sautdindex"/>
              </w:rPr>
              <w:t>ATTRIBUTION DU MARCHÉ</w:t>
            </w:r>
            <w:r w:rsidR="00944E09">
              <w:rPr>
                <w:rStyle w:val="Sautdindex"/>
              </w:rPr>
              <w:tab/>
              <w:t>18</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727">
            <w:r w:rsidR="00944E09">
              <w:rPr>
                <w:rStyle w:val="Sautdindex"/>
              </w:rPr>
              <w:t>7.1</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_Toc234336727 \h</w:instrText>
            </w:r>
            <w:r w:rsidR="00944E09">
              <w:rPr>
                <w:webHidden/>
              </w:rPr>
            </w:r>
            <w:r w:rsidR="00944E09">
              <w:rPr>
                <w:webHidden/>
              </w:rPr>
              <w:fldChar w:fldCharType="separate"/>
            </w:r>
            <w:r w:rsidR="00944E09">
              <w:rPr>
                <w:rStyle w:val="Sautdindex"/>
              </w:rPr>
              <w:t>Documents à produire par le titulaire pressenti</w:t>
            </w:r>
            <w:r w:rsidR="00944E09">
              <w:rPr>
                <w:rStyle w:val="Sautdindex"/>
              </w:rPr>
              <w:tab/>
              <w:t>18</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728">
            <w:r w:rsidR="00944E09">
              <w:rPr>
                <w:rStyle w:val="Sautdindex"/>
              </w:rPr>
              <w:t>7.2</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_Toc234336728 \h</w:instrText>
            </w:r>
            <w:r w:rsidR="00944E09">
              <w:rPr>
                <w:webHidden/>
              </w:rPr>
            </w:r>
            <w:r w:rsidR="00944E09">
              <w:rPr>
                <w:webHidden/>
              </w:rPr>
              <w:fldChar w:fldCharType="separate"/>
            </w:r>
            <w:r w:rsidR="00944E09">
              <w:rPr>
                <w:rStyle w:val="Sautdindex"/>
              </w:rPr>
              <w:t>Mise au point éventuelle</w:t>
            </w:r>
            <w:r w:rsidR="00944E09">
              <w:rPr>
                <w:rStyle w:val="Sautdindex"/>
              </w:rPr>
              <w:tab/>
              <w:t>19</w:t>
            </w:r>
            <w:r w:rsidR="00944E09">
              <w:rPr>
                <w:webHidden/>
              </w:rPr>
              <w:fldChar w:fldCharType="end"/>
            </w:r>
          </w:hyperlink>
        </w:p>
        <w:p w:rsidR="00C76715" w:rsidRDefault="00E417DC">
          <w:pPr>
            <w:pStyle w:val="TM2"/>
            <w:rPr>
              <w:rFonts w:asciiTheme="minorHAnsi" w:eastAsiaTheme="minorEastAsia" w:hAnsiTheme="minorHAnsi" w:cstheme="minorBidi"/>
              <w:kern w:val="0"/>
              <w:sz w:val="22"/>
              <w:szCs w:val="22"/>
              <w:lang w:eastAsia="fr-FR" w:bidi="ar-SA"/>
            </w:rPr>
          </w:pPr>
          <w:hyperlink w:anchor="_Toc234336729">
            <w:r w:rsidR="00944E09">
              <w:rPr>
                <w:rStyle w:val="Sautdindex"/>
              </w:rPr>
              <w:t>7.3</w:t>
            </w:r>
            <w:r w:rsidR="00944E09">
              <w:rPr>
                <w:rStyle w:val="Sautdindex"/>
                <w:rFonts w:asciiTheme="minorHAnsi" w:eastAsiaTheme="minorEastAsia" w:hAnsiTheme="minorHAnsi" w:cstheme="minorBidi"/>
                <w:kern w:val="0"/>
                <w:sz w:val="22"/>
                <w:szCs w:val="22"/>
                <w:lang w:eastAsia="fr-FR" w:bidi="ar-SA"/>
              </w:rPr>
              <w:tab/>
            </w:r>
            <w:r w:rsidR="00944E09">
              <w:rPr>
                <w:webHidden/>
              </w:rPr>
              <w:fldChar w:fldCharType="begin"/>
            </w:r>
            <w:r w:rsidR="00944E09">
              <w:rPr>
                <w:webHidden/>
              </w:rPr>
              <w:instrText>PAGEREF _Toc234336729 \h</w:instrText>
            </w:r>
            <w:r w:rsidR="00944E09">
              <w:rPr>
                <w:webHidden/>
              </w:rPr>
            </w:r>
            <w:r w:rsidR="00944E09">
              <w:rPr>
                <w:webHidden/>
              </w:rPr>
              <w:fldChar w:fldCharType="separate"/>
            </w:r>
            <w:r w:rsidR="00944E09">
              <w:rPr>
                <w:rStyle w:val="Sautdindex"/>
              </w:rPr>
              <w:t>Signature du marché public</w:t>
            </w:r>
            <w:r w:rsidR="00944E09">
              <w:rPr>
                <w:rStyle w:val="Sautdindex"/>
              </w:rPr>
              <w:tab/>
              <w:t>19</w:t>
            </w:r>
            <w:r w:rsidR="00944E09">
              <w:rPr>
                <w:webHidden/>
              </w:rPr>
              <w:fldChar w:fldCharType="end"/>
            </w:r>
          </w:hyperlink>
        </w:p>
        <w:p w:rsidR="00C76715" w:rsidRDefault="00E417DC">
          <w:pPr>
            <w:pStyle w:val="TM1"/>
            <w:rPr>
              <w:rFonts w:asciiTheme="minorHAnsi" w:eastAsiaTheme="minorEastAsia" w:hAnsiTheme="minorHAnsi" w:cstheme="minorBidi"/>
              <w:color w:val="auto"/>
            </w:rPr>
          </w:pPr>
          <w:hyperlink w:anchor="_Toc234336730">
            <w:r w:rsidR="00944E09">
              <w:rPr>
                <w:rStyle w:val="Sautdindex"/>
              </w:rPr>
              <w:t>8</w:t>
            </w:r>
            <w:r w:rsidR="00944E09">
              <w:rPr>
                <w:rStyle w:val="Sautdindex"/>
                <w:rFonts w:asciiTheme="minorHAnsi" w:eastAsiaTheme="minorEastAsia" w:hAnsiTheme="minorHAnsi" w:cstheme="minorBidi"/>
                <w:color w:val="auto"/>
              </w:rPr>
              <w:tab/>
            </w:r>
            <w:r w:rsidR="00944E09">
              <w:rPr>
                <w:webHidden/>
              </w:rPr>
              <w:fldChar w:fldCharType="begin"/>
            </w:r>
            <w:r w:rsidR="00944E09">
              <w:rPr>
                <w:webHidden/>
              </w:rPr>
              <w:instrText>PAGEREF _Toc234336730 \h</w:instrText>
            </w:r>
            <w:r w:rsidR="00944E09">
              <w:rPr>
                <w:webHidden/>
              </w:rPr>
            </w:r>
            <w:r w:rsidR="00944E09">
              <w:rPr>
                <w:webHidden/>
              </w:rPr>
              <w:fldChar w:fldCharType="separate"/>
            </w:r>
            <w:r w:rsidR="00944E09">
              <w:rPr>
                <w:rStyle w:val="Sautdindex"/>
              </w:rPr>
              <w:t>LANGUE</w:t>
            </w:r>
            <w:r w:rsidR="00944E09">
              <w:rPr>
                <w:rStyle w:val="Sautdindex"/>
              </w:rPr>
              <w:tab/>
              <w:t>19</w:t>
            </w:r>
            <w:r w:rsidR="00944E09">
              <w:rPr>
                <w:webHidden/>
              </w:rPr>
              <w:fldChar w:fldCharType="end"/>
            </w:r>
          </w:hyperlink>
        </w:p>
        <w:p w:rsidR="00C76715" w:rsidRDefault="00E417DC">
          <w:pPr>
            <w:pStyle w:val="TM1"/>
            <w:rPr>
              <w:rFonts w:asciiTheme="minorHAnsi" w:eastAsiaTheme="minorEastAsia" w:hAnsiTheme="minorHAnsi" w:cstheme="minorBidi"/>
              <w:color w:val="auto"/>
            </w:rPr>
          </w:pPr>
          <w:hyperlink w:anchor="_Toc234336731">
            <w:r w:rsidR="00944E09">
              <w:rPr>
                <w:rStyle w:val="Sautdindex"/>
              </w:rPr>
              <w:t>9</w:t>
            </w:r>
            <w:r w:rsidR="00944E09">
              <w:rPr>
                <w:rStyle w:val="Sautdindex"/>
                <w:rFonts w:asciiTheme="minorHAnsi" w:eastAsiaTheme="minorEastAsia" w:hAnsiTheme="minorHAnsi" w:cstheme="minorBidi"/>
                <w:color w:val="auto"/>
              </w:rPr>
              <w:tab/>
            </w:r>
            <w:r w:rsidR="00944E09">
              <w:rPr>
                <w:webHidden/>
              </w:rPr>
              <w:fldChar w:fldCharType="begin"/>
            </w:r>
            <w:r w:rsidR="00944E09">
              <w:rPr>
                <w:webHidden/>
              </w:rPr>
              <w:instrText>PAGEREF _Toc234336731 \h</w:instrText>
            </w:r>
            <w:r w:rsidR="00944E09">
              <w:rPr>
                <w:webHidden/>
              </w:rPr>
            </w:r>
            <w:r w:rsidR="00944E09">
              <w:rPr>
                <w:webHidden/>
              </w:rPr>
              <w:fldChar w:fldCharType="separate"/>
            </w:r>
            <w:r w:rsidR="00944E09">
              <w:rPr>
                <w:rStyle w:val="Sautdindex"/>
              </w:rPr>
              <w:t>CLAUSE DE CONFIDENTIALITE</w:t>
            </w:r>
            <w:r w:rsidR="00944E09">
              <w:rPr>
                <w:rStyle w:val="Sautdindex"/>
              </w:rPr>
              <w:tab/>
              <w:t>19</w:t>
            </w:r>
            <w:r w:rsidR="00944E09">
              <w:rPr>
                <w:webHidden/>
              </w:rPr>
              <w:fldChar w:fldCharType="end"/>
            </w:r>
          </w:hyperlink>
        </w:p>
        <w:p w:rsidR="00C76715" w:rsidRDefault="00E417DC">
          <w:pPr>
            <w:pStyle w:val="TM1"/>
            <w:rPr>
              <w:rFonts w:asciiTheme="minorHAnsi" w:eastAsiaTheme="minorEastAsia" w:hAnsiTheme="minorHAnsi" w:cstheme="minorBidi"/>
              <w:color w:val="auto"/>
            </w:rPr>
          </w:pPr>
          <w:hyperlink w:anchor="_Toc234336732">
            <w:r w:rsidR="00944E09">
              <w:rPr>
                <w:rStyle w:val="Sautdindex"/>
              </w:rPr>
              <w:t>10</w:t>
            </w:r>
            <w:r w:rsidR="00944E09">
              <w:rPr>
                <w:rStyle w:val="Sautdindex"/>
                <w:rFonts w:asciiTheme="minorHAnsi" w:eastAsiaTheme="minorEastAsia" w:hAnsiTheme="minorHAnsi" w:cstheme="minorBidi"/>
                <w:color w:val="auto"/>
              </w:rPr>
              <w:tab/>
            </w:r>
            <w:r w:rsidR="00944E09">
              <w:rPr>
                <w:webHidden/>
              </w:rPr>
              <w:fldChar w:fldCharType="begin"/>
            </w:r>
            <w:r w:rsidR="00944E09">
              <w:rPr>
                <w:webHidden/>
              </w:rPr>
              <w:instrText>PAGEREF _Toc234336732 \h</w:instrText>
            </w:r>
            <w:r w:rsidR="00944E09">
              <w:rPr>
                <w:webHidden/>
              </w:rPr>
            </w:r>
            <w:r w:rsidR="00944E09">
              <w:rPr>
                <w:webHidden/>
              </w:rPr>
              <w:fldChar w:fldCharType="separate"/>
            </w:r>
            <w:r w:rsidR="00944E09">
              <w:rPr>
                <w:rStyle w:val="Sautdindex"/>
              </w:rPr>
              <w:t>CONTENTIEUX</w:t>
            </w:r>
            <w:r w:rsidR="00944E09">
              <w:rPr>
                <w:rStyle w:val="Sautdindex"/>
              </w:rPr>
              <w:tab/>
              <w:t>19</w:t>
            </w:r>
            <w:r w:rsidR="00944E09">
              <w:rPr>
                <w:webHidden/>
              </w:rPr>
              <w:fldChar w:fldCharType="end"/>
            </w:r>
          </w:hyperlink>
        </w:p>
        <w:p w:rsidR="00C76715" w:rsidRDefault="00E417DC">
          <w:pPr>
            <w:pStyle w:val="TM1"/>
            <w:rPr>
              <w:rFonts w:asciiTheme="minorHAnsi" w:eastAsiaTheme="minorEastAsia" w:hAnsiTheme="minorHAnsi" w:cstheme="minorBidi"/>
              <w:color w:val="auto"/>
            </w:rPr>
          </w:pPr>
          <w:hyperlink w:anchor="_Toc234336733">
            <w:r w:rsidR="00944E09">
              <w:rPr>
                <w:rStyle w:val="Sautdindex"/>
              </w:rPr>
              <w:t>11</w:t>
            </w:r>
            <w:r w:rsidR="00944E09">
              <w:rPr>
                <w:rStyle w:val="Sautdindex"/>
                <w:rFonts w:asciiTheme="minorHAnsi" w:eastAsiaTheme="minorEastAsia" w:hAnsiTheme="minorHAnsi" w:cstheme="minorBidi"/>
                <w:color w:val="auto"/>
              </w:rPr>
              <w:tab/>
            </w:r>
            <w:r w:rsidR="00944E09">
              <w:rPr>
                <w:webHidden/>
              </w:rPr>
              <w:fldChar w:fldCharType="begin"/>
            </w:r>
            <w:r w:rsidR="00944E09">
              <w:rPr>
                <w:webHidden/>
              </w:rPr>
              <w:instrText>PAGEREF _Toc234336733 \h</w:instrText>
            </w:r>
            <w:r w:rsidR="00944E09">
              <w:rPr>
                <w:webHidden/>
              </w:rPr>
            </w:r>
            <w:r w:rsidR="00944E09">
              <w:rPr>
                <w:webHidden/>
              </w:rPr>
              <w:fldChar w:fldCharType="separate"/>
            </w:r>
            <w:r w:rsidR="00944E09">
              <w:rPr>
                <w:rStyle w:val="Sautdindex"/>
              </w:rPr>
              <w:t>MODALITÉS DE SIGNATURE ÉLECTRONIQUE</w:t>
            </w:r>
            <w:r w:rsidR="00944E09">
              <w:rPr>
                <w:rStyle w:val="Sautdindex"/>
              </w:rPr>
              <w:tab/>
              <w:t>20</w:t>
            </w:r>
            <w:r w:rsidR="00944E09">
              <w:rPr>
                <w:webHidden/>
              </w:rPr>
              <w:fldChar w:fldCharType="end"/>
            </w:r>
          </w:hyperlink>
        </w:p>
        <w:p w:rsidR="00C76715" w:rsidRDefault="00E417DC">
          <w:pPr>
            <w:pStyle w:val="TM1"/>
            <w:rPr>
              <w:rFonts w:asciiTheme="minorHAnsi" w:eastAsiaTheme="minorEastAsia" w:hAnsiTheme="minorHAnsi" w:cstheme="minorBidi"/>
              <w:color w:val="auto"/>
            </w:rPr>
          </w:pPr>
          <w:hyperlink w:anchor="_Toc234336734">
            <w:r w:rsidR="00944E09">
              <w:rPr>
                <w:rStyle w:val="Sautdindex"/>
              </w:rPr>
              <w:t>12</w:t>
            </w:r>
            <w:r w:rsidR="00944E09">
              <w:rPr>
                <w:rStyle w:val="Sautdindex"/>
                <w:rFonts w:asciiTheme="minorHAnsi" w:eastAsiaTheme="minorEastAsia" w:hAnsiTheme="minorHAnsi" w:cstheme="minorBidi"/>
                <w:color w:val="auto"/>
              </w:rPr>
              <w:tab/>
            </w:r>
            <w:r w:rsidR="00944E09">
              <w:rPr>
                <w:webHidden/>
              </w:rPr>
              <w:fldChar w:fldCharType="begin"/>
            </w:r>
            <w:r w:rsidR="00944E09">
              <w:rPr>
                <w:webHidden/>
              </w:rPr>
              <w:instrText>PAGEREF _Toc234336734 \h</w:instrText>
            </w:r>
            <w:r w:rsidR="00944E09">
              <w:rPr>
                <w:webHidden/>
              </w:rPr>
            </w:r>
            <w:r w:rsidR="00944E09">
              <w:rPr>
                <w:webHidden/>
              </w:rPr>
              <w:fldChar w:fldCharType="separate"/>
            </w:r>
            <w:r w:rsidR="00944E09">
              <w:rPr>
                <w:rStyle w:val="Sautdindex"/>
              </w:rPr>
              <w:t>ANNEXES</w:t>
            </w:r>
            <w:r w:rsidR="00944E09">
              <w:rPr>
                <w:rStyle w:val="Sautdindex"/>
              </w:rPr>
              <w:tab/>
              <w:t>21</w:t>
            </w:r>
            <w:r w:rsidR="00944E09">
              <w:rPr>
                <w:webHidden/>
              </w:rPr>
              <w:fldChar w:fldCharType="end"/>
            </w:r>
          </w:hyperlink>
          <w:r w:rsidR="00944E09">
            <w:rPr>
              <w:rStyle w:val="Sautdindex"/>
            </w:rPr>
            <w:fldChar w:fldCharType="end"/>
          </w:r>
        </w:p>
      </w:sdtContent>
    </w:sdt>
    <w:p w:rsidR="00C76715" w:rsidRDefault="00944E09">
      <w:pPr>
        <w:tabs>
          <w:tab w:val="left" w:pos="709"/>
          <w:tab w:val="left" w:pos="1418"/>
          <w:tab w:val="left" w:pos="2127"/>
          <w:tab w:val="left" w:pos="2836"/>
          <w:tab w:val="left" w:pos="3545"/>
          <w:tab w:val="left" w:pos="5638"/>
        </w:tabs>
        <w:spacing w:before="240" w:after="0" w:line="259" w:lineRule="auto"/>
        <w:ind w:left="709" w:hanging="709"/>
        <w:jc w:val="center"/>
        <w:rPr>
          <w:b/>
          <w:u w:val="single"/>
        </w:rPr>
      </w:pPr>
      <w:r>
        <w:tab/>
        <w:t xml:space="preserve"> </w:t>
      </w:r>
      <w:r>
        <w:br w:type="page"/>
      </w:r>
    </w:p>
    <w:p w:rsidR="00C76715" w:rsidRDefault="00944E09">
      <w:pPr>
        <w:tabs>
          <w:tab w:val="left" w:pos="709"/>
          <w:tab w:val="left" w:pos="1418"/>
          <w:tab w:val="left" w:pos="2127"/>
          <w:tab w:val="left" w:pos="2836"/>
          <w:tab w:val="left" w:pos="3545"/>
          <w:tab w:val="left" w:pos="5638"/>
        </w:tabs>
        <w:spacing w:after="0" w:line="259" w:lineRule="auto"/>
        <w:ind w:left="709" w:firstLine="0"/>
        <w:jc w:val="center"/>
        <w:rPr>
          <w:b/>
          <w:u w:val="single"/>
        </w:rPr>
      </w:pPr>
      <w:r>
        <w:rPr>
          <w:b/>
          <w:u w:val="single"/>
        </w:rPr>
        <w:lastRenderedPageBreak/>
        <w:t>Contexte et mission du SEO</w:t>
      </w:r>
    </w:p>
    <w:p w:rsidR="00C76715" w:rsidRDefault="00944E09">
      <w:pPr>
        <w:spacing w:before="240" w:after="0" w:line="240" w:lineRule="auto"/>
        <w:ind w:left="0" w:firstLine="0"/>
      </w:pPr>
      <w:r>
        <w:t>Le Service de l’énergie opérationnelle (SEO) exploite des établissements et dépôts pétroliers, situés en France métropolitaine et en Corse. Le dépôt essences passif de Donges, dénommé DE/P de Donges qui est implanté sur la commune de La Chapelle Launay, dans le département de la Loire Atlantique (44) doit subir des travaux nécessaires à sa mise en conformité.</w:t>
      </w:r>
    </w:p>
    <w:p w:rsidR="00C76715" w:rsidRDefault="00944E09">
      <w:pPr>
        <w:pStyle w:val="Titre1"/>
        <w:spacing w:before="360"/>
        <w:ind w:left="567" w:hanging="567"/>
        <w:rPr>
          <w:u w:val="single"/>
        </w:rPr>
      </w:pPr>
      <w:bookmarkStart w:id="0" w:name="_Toc234336693"/>
      <w:r>
        <w:rPr>
          <w:u w:val="single"/>
        </w:rPr>
        <w:t>POUVOIR ADJUDICATEUR</w:t>
      </w:r>
      <w:bookmarkEnd w:id="0"/>
    </w:p>
    <w:p w:rsidR="00C76715" w:rsidRDefault="00944E09">
      <w:pPr>
        <w:spacing w:before="120" w:after="0" w:line="240" w:lineRule="auto"/>
        <w:ind w:left="0" w:firstLine="0"/>
      </w:pPr>
      <w:r>
        <w:t>Ministère des Armées et des Anciens combattants</w:t>
      </w:r>
    </w:p>
    <w:p w:rsidR="00C76715" w:rsidRDefault="00944E09">
      <w:pPr>
        <w:spacing w:before="120" w:after="0" w:line="240" w:lineRule="auto"/>
        <w:ind w:left="0" w:firstLine="0"/>
      </w:pPr>
      <w:r>
        <w:t>Service de l’énergie opérationnelle (SEO)</w:t>
      </w:r>
    </w:p>
    <w:p w:rsidR="00C76715" w:rsidRDefault="00944E09">
      <w:pPr>
        <w:spacing w:before="120" w:after="0" w:line="240" w:lineRule="auto"/>
        <w:ind w:left="0" w:firstLine="0"/>
      </w:pPr>
      <w:r>
        <w:t>Centre de soutien technique et administratif (CSTA)</w:t>
      </w:r>
    </w:p>
    <w:p w:rsidR="00C76715" w:rsidRDefault="00944E09">
      <w:pPr>
        <w:spacing w:before="120" w:after="0" w:line="240" w:lineRule="auto"/>
        <w:ind w:left="0" w:firstLine="0"/>
      </w:pPr>
      <w:r>
        <w:t>Caserne Thiry – 47, rue Sainte Catherine – CS n°60016 – 54035 Nancy cedex</w:t>
      </w:r>
    </w:p>
    <w:p w:rsidR="00C76715" w:rsidRDefault="00944E09">
      <w:pPr>
        <w:spacing w:before="120" w:after="0" w:line="240" w:lineRule="auto"/>
        <w:ind w:left="0" w:firstLine="0"/>
      </w:pPr>
      <w:r>
        <w:t>Pays : France</w:t>
      </w:r>
    </w:p>
    <w:p w:rsidR="00C76715" w:rsidRDefault="00944E09">
      <w:pPr>
        <w:spacing w:before="120" w:after="0" w:line="240" w:lineRule="auto"/>
        <w:ind w:left="0" w:firstLine="0"/>
      </w:pPr>
      <w:r>
        <w:t>Code NUTS : FR411</w:t>
      </w:r>
    </w:p>
    <w:p w:rsidR="00C76715" w:rsidRDefault="00944E09">
      <w:pPr>
        <w:spacing w:before="120" w:after="0" w:line="240" w:lineRule="auto"/>
        <w:ind w:left="0" w:firstLine="0"/>
      </w:pPr>
      <w:r>
        <w:t>Téléphone (+33) 03.83.19.33.85</w:t>
      </w:r>
    </w:p>
    <w:p w:rsidR="00C76715" w:rsidRDefault="00944E09">
      <w:pPr>
        <w:spacing w:before="120" w:line="240" w:lineRule="auto"/>
        <w:ind w:left="0" w:firstLine="0"/>
        <w:rPr>
          <w:color w:val="0563C1"/>
          <w:u w:val="single" w:color="0563C1"/>
        </w:rPr>
      </w:pPr>
      <w:r>
        <w:t xml:space="preserve">Adresse Internet du profil acheteur dédié, Plateforme des achats de l’Etat (PLACE), espace entreprises : </w:t>
      </w:r>
      <w:hyperlink r:id="rId11">
        <w:r>
          <w:rPr>
            <w:rStyle w:val="Lienhypertexte"/>
            <w:u w:val="none" w:color="0563C1"/>
          </w:rPr>
          <w:t>https://www.marches-publics.gouv.fr/entreprise</w:t>
        </w:r>
      </w:hyperlink>
    </w:p>
    <w:p w:rsidR="00C76715" w:rsidRDefault="00944E09">
      <w:pPr>
        <w:rPr>
          <w:u w:color="0563C1"/>
        </w:rPr>
      </w:pPr>
      <w:r>
        <w:rPr>
          <w:u w:color="0563C1"/>
        </w:rPr>
        <w:t xml:space="preserve">Adresses électroniques : </w:t>
      </w:r>
      <w:r>
        <w:rPr>
          <w:u w:color="0563C1"/>
        </w:rPr>
        <w:tab/>
      </w:r>
      <w:hyperlink r:id="rId12">
        <w:r>
          <w:rPr>
            <w:rStyle w:val="Lienhypertexte"/>
            <w:u w:val="none" w:color="0563C1"/>
          </w:rPr>
          <w:t>frederic.rizzo@intradef.gouv.fr</w:t>
        </w:r>
      </w:hyperlink>
    </w:p>
    <w:p w:rsidR="00C76715" w:rsidRDefault="00E417DC">
      <w:pPr>
        <w:ind w:left="2214" w:firstLine="622"/>
      </w:pPr>
      <w:hyperlink r:id="rId13">
        <w:r w:rsidR="00944E09">
          <w:rPr>
            <w:rStyle w:val="Lienhypertexte"/>
            <w:u w:val="none" w:color="0563C1"/>
          </w:rPr>
          <w:t>csta-ba-infra.contact.fct@intradef.gouv.fr</w:t>
        </w:r>
      </w:hyperlink>
    </w:p>
    <w:p w:rsidR="00C76715" w:rsidRDefault="00944E09">
      <w:pPr>
        <w:pStyle w:val="Titre1"/>
        <w:spacing w:before="360"/>
        <w:ind w:left="567" w:hanging="567"/>
        <w:rPr>
          <w:u w:val="single"/>
        </w:rPr>
      </w:pPr>
      <w:bookmarkStart w:id="1" w:name="_Toc234336694"/>
      <w:r>
        <w:rPr>
          <w:u w:val="single"/>
        </w:rPr>
        <w:t>OBJET DE LA CONSULTATION</w:t>
      </w:r>
      <w:bookmarkEnd w:id="1"/>
    </w:p>
    <w:p w:rsidR="00C76715" w:rsidRDefault="00944E09">
      <w:pPr>
        <w:spacing w:before="120" w:after="0" w:line="240" w:lineRule="auto"/>
        <w:ind w:left="0" w:firstLine="0"/>
      </w:pPr>
      <w:r>
        <w:t>La consultation a pour objet la réalisation de travaux qui consistent à mettre en conformité le dépôt vis à vis de son arrêté environnemental. Ils sont axés principalement sur les réservoirs avec des modifications des réseaux de traitement des effluents. Quelques travaux annexes sont également prévus comme des travaux d'électricité ou d'équipements pétroliers.</w:t>
      </w:r>
    </w:p>
    <w:p w:rsidR="00C76715" w:rsidRDefault="00944E09">
      <w:pPr>
        <w:spacing w:before="120" w:after="0" w:line="240" w:lineRule="auto"/>
        <w:ind w:left="0" w:firstLine="0"/>
      </w:pPr>
      <w:r>
        <w:t>Un lot OPC et le contrôle des accès est prévu dans ce même lot.</w:t>
      </w:r>
    </w:p>
    <w:p w:rsidR="00C76715" w:rsidRDefault="00C76715">
      <w:pPr>
        <w:spacing w:before="120" w:after="0" w:line="240" w:lineRule="auto"/>
        <w:ind w:left="0" w:firstLine="0"/>
      </w:pPr>
    </w:p>
    <w:p w:rsidR="00C76715" w:rsidRDefault="00944E09">
      <w:pPr>
        <w:spacing w:before="120" w:after="0" w:line="240" w:lineRule="auto"/>
        <w:ind w:left="0" w:firstLine="0"/>
      </w:pPr>
      <w:r>
        <w:t>Il s’agit d’un marché de « travaux » (</w:t>
      </w:r>
      <w:r>
        <w:rPr>
          <w:i/>
        </w:rPr>
        <w:t>Cf</w:t>
      </w:r>
      <w:r>
        <w:t xml:space="preserve"> </w:t>
      </w:r>
      <w:hyperlink r:id="rId14">
        <w:r>
          <w:rPr>
            <w:rStyle w:val="Lienhypertexte"/>
          </w:rPr>
          <w:t>avis relatif à la liste des activités qui sont des travaux en droit de la commande publique</w:t>
        </w:r>
      </w:hyperlink>
      <w:r>
        <w:t>, publié au Journal officiel du 31 mars 2019).</w:t>
      </w:r>
    </w:p>
    <w:p w:rsidR="00C76715" w:rsidRDefault="00944E09">
      <w:pPr>
        <w:spacing w:before="120" w:after="0" w:line="240" w:lineRule="auto"/>
        <w:ind w:left="0" w:firstLine="0"/>
      </w:pPr>
      <w:r>
        <w:t xml:space="preserve">Code CPV de la consultation : </w:t>
      </w:r>
      <w:r>
        <w:tab/>
        <w:t>45259900-6 - Modernisation d'installations.</w:t>
      </w:r>
    </w:p>
    <w:p w:rsidR="00C76715" w:rsidRDefault="00944E09">
      <w:pPr>
        <w:spacing w:before="120" w:after="0" w:line="240" w:lineRule="auto"/>
        <w:ind w:left="0" w:firstLine="0"/>
      </w:pPr>
      <w:r>
        <w:t>Le descriptif des prestations à réaliser dans le cadre du présent marché est précisé dans le cahier des clauses techniques particulières (CCTP).</w:t>
      </w:r>
    </w:p>
    <w:p w:rsidR="00C76715" w:rsidRDefault="00944E09">
      <w:pPr>
        <w:pStyle w:val="Titre1"/>
        <w:spacing w:before="360"/>
        <w:ind w:left="567" w:hanging="567"/>
        <w:rPr>
          <w:u w:val="single"/>
        </w:rPr>
      </w:pPr>
      <w:r>
        <w:tab/>
      </w:r>
      <w:bookmarkStart w:id="2" w:name="_Toc234336695"/>
      <w:r>
        <w:rPr>
          <w:u w:val="single"/>
        </w:rPr>
        <w:t>CONDITIONS DE LA CONSULTATION</w:t>
      </w:r>
      <w:bookmarkEnd w:id="2"/>
    </w:p>
    <w:p w:rsidR="00C76715" w:rsidRDefault="00944E09">
      <w:pPr>
        <w:pStyle w:val="Titre2"/>
        <w:ind w:left="567" w:hanging="567"/>
      </w:pPr>
      <w:bookmarkStart w:id="3" w:name="_Toc234336696"/>
      <w:r>
        <w:t>Procédure de passation</w:t>
      </w:r>
      <w:bookmarkEnd w:id="3"/>
    </w:p>
    <w:p w:rsidR="00C76715" w:rsidRDefault="00944E09">
      <w:pPr>
        <w:spacing w:before="120" w:after="0" w:line="240" w:lineRule="auto"/>
        <w:ind w:left="0" w:firstLine="0"/>
        <w:rPr>
          <w:rFonts w:eastAsiaTheme="minorHAnsi"/>
          <w:iCs/>
          <w:color w:val="auto"/>
          <w:lang w:eastAsia="en-US"/>
        </w:rPr>
      </w:pPr>
      <w:r>
        <w:rPr>
          <w:rFonts w:eastAsiaTheme="minorHAnsi"/>
          <w:iCs/>
          <w:color w:val="auto"/>
          <w:lang w:eastAsia="en-US"/>
        </w:rPr>
        <w:t>Le marché est passé selon la procédure adaptée restreinte en deux phases (phase 1 « candidature » et phase 2 « offre ») avec négociation et suivant les règles spécifiques aux marchés de défense ou de sécurité (MDS), en application des dispositions prévues aux articles L.1113-1 4°, et R.2323-1 à R.2323-4 du Code de la commande publique (CCP).</w:t>
      </w:r>
    </w:p>
    <w:p w:rsidR="00C76715" w:rsidRDefault="00944E09">
      <w:pPr>
        <w:spacing w:before="120" w:after="0" w:line="240" w:lineRule="auto"/>
        <w:ind w:left="0" w:firstLine="0"/>
        <w:rPr>
          <w:rFonts w:eastAsiaTheme="minorHAnsi"/>
          <w:iCs/>
          <w:color w:val="auto"/>
          <w:lang w:eastAsia="en-US"/>
        </w:rPr>
      </w:pPr>
      <w:r>
        <w:rPr>
          <w:rFonts w:eastAsiaTheme="minorHAnsi"/>
          <w:iCs/>
          <w:color w:val="auto"/>
          <w:lang w:eastAsia="en-US"/>
        </w:rPr>
        <w:t>Par ailleurs, l’acheteur décide d’utiliser une procédure d’acquisition National Competitive Bidding plus (NCB+) pour la présente consultation. En application des articles R2342-7 et R2342-8 du Code de la commande publique, la procédure de passation est ouverte aux opérateurs économiques des pays membres de l’Union européenne (UE), de l’Espace économique européen ou de l’OTAN.</w:t>
      </w:r>
    </w:p>
    <w:p w:rsidR="00C76715" w:rsidRDefault="00944E09">
      <w:pPr>
        <w:spacing w:before="120" w:after="0" w:line="240" w:lineRule="auto"/>
        <w:ind w:left="0" w:firstLine="0"/>
        <w:rPr>
          <w:rFonts w:eastAsiaTheme="minorHAnsi"/>
          <w:iCs/>
          <w:color w:val="auto"/>
          <w:lang w:eastAsia="en-US"/>
        </w:rPr>
      </w:pPr>
      <w:r>
        <w:rPr>
          <w:rFonts w:eastAsiaTheme="minorHAnsi"/>
          <w:iCs/>
          <w:color w:val="auto"/>
          <w:lang w:eastAsia="en-US"/>
        </w:rPr>
        <w:t>Les opérateurs non ressortissants des pays de l’UE, de l’Espace économique européen ou de l’OTAN sont exclus de la présente consultation.</w:t>
      </w:r>
    </w:p>
    <w:p w:rsidR="00C76715" w:rsidRDefault="00944E09">
      <w:pPr>
        <w:pStyle w:val="Titre2"/>
        <w:ind w:left="567" w:hanging="567"/>
      </w:pPr>
      <w:bookmarkStart w:id="4" w:name="_Toc210133724"/>
      <w:bookmarkStart w:id="5" w:name="_Toc234336697"/>
      <w:bookmarkEnd w:id="4"/>
      <w:r>
        <w:lastRenderedPageBreak/>
        <w:t>Allotissement</w:t>
      </w:r>
      <w:bookmarkEnd w:id="5"/>
    </w:p>
    <w:p w:rsidR="00C76715" w:rsidRDefault="00944E09">
      <w:pPr>
        <w:spacing w:before="120" w:after="0" w:line="240" w:lineRule="auto"/>
        <w:ind w:left="0" w:firstLine="0"/>
      </w:pPr>
      <w:r>
        <w:t xml:space="preserve">Le présent marché est alloti en deux lots répartis comme suit : </w:t>
      </w:r>
    </w:p>
    <w:p w:rsidR="00C76715" w:rsidRDefault="00944E09">
      <w:pPr>
        <w:pStyle w:val="Paragraphedeliste"/>
        <w:numPr>
          <w:ilvl w:val="0"/>
          <w:numId w:val="7"/>
        </w:numPr>
        <w:spacing w:before="120" w:after="0" w:line="240" w:lineRule="auto"/>
        <w:contextualSpacing w:val="0"/>
        <w:rPr>
          <w:rFonts w:ascii="Arial" w:hAnsi="Arial" w:cs="Arial"/>
        </w:rPr>
      </w:pPr>
      <w:r>
        <w:rPr>
          <w:rFonts w:ascii="Arial" w:hAnsi="Arial" w:cs="Arial"/>
        </w:rPr>
        <w:t xml:space="preserve">lot 1 : </w:t>
      </w:r>
      <w:r>
        <w:rPr>
          <w:rFonts w:ascii="Arial" w:hAnsi="Arial" w:cs="Arial"/>
        </w:rPr>
        <w:tab/>
        <w:t xml:space="preserve">Travaux de mise en conformité </w:t>
      </w:r>
    </w:p>
    <w:p w:rsidR="00C76715" w:rsidRDefault="00944E09">
      <w:pPr>
        <w:pStyle w:val="Paragraphedeliste"/>
        <w:numPr>
          <w:ilvl w:val="0"/>
          <w:numId w:val="7"/>
        </w:numPr>
        <w:spacing w:before="120" w:after="0" w:line="240" w:lineRule="auto"/>
        <w:contextualSpacing w:val="0"/>
        <w:rPr>
          <w:rFonts w:ascii="Arial" w:hAnsi="Arial" w:cs="Arial"/>
        </w:rPr>
      </w:pPr>
      <w:r>
        <w:rPr>
          <w:rFonts w:ascii="Arial" w:hAnsi="Arial" w:cs="Arial"/>
        </w:rPr>
        <w:t xml:space="preserve">lot 2 :   OPC </w:t>
      </w:r>
      <w:r w:rsidR="00B915A6">
        <w:rPr>
          <w:rFonts w:ascii="Arial" w:hAnsi="Arial" w:cs="Arial"/>
        </w:rPr>
        <w:t>(or</w:t>
      </w:r>
      <w:r w:rsidR="00682B17">
        <w:rPr>
          <w:rFonts w:ascii="Arial" w:hAnsi="Arial" w:cs="Arial"/>
        </w:rPr>
        <w:t xml:space="preserve">donnancement </w:t>
      </w:r>
      <w:r w:rsidR="00B915A6">
        <w:rPr>
          <w:rFonts w:ascii="Arial" w:hAnsi="Arial" w:cs="Arial"/>
        </w:rPr>
        <w:t>et pilotage de chantier )</w:t>
      </w:r>
      <w:r w:rsidR="006E1E12">
        <w:rPr>
          <w:rFonts w:ascii="Arial" w:hAnsi="Arial" w:cs="Arial"/>
        </w:rPr>
        <w:t xml:space="preserve"> </w:t>
      </w:r>
      <w:r>
        <w:rPr>
          <w:rFonts w:ascii="Arial" w:hAnsi="Arial" w:cs="Arial"/>
        </w:rPr>
        <w:t xml:space="preserve">et contrôle des accès </w:t>
      </w:r>
    </w:p>
    <w:p w:rsidR="00C76715" w:rsidRDefault="00944E09">
      <w:pPr>
        <w:widowControl w:val="0"/>
        <w:spacing w:after="0" w:line="240" w:lineRule="auto"/>
        <w:ind w:left="0" w:firstLine="0"/>
        <w:rPr>
          <w:rFonts w:eastAsia="Calibri"/>
          <w:color w:val="auto"/>
          <w:kern w:val="2"/>
        </w:rPr>
      </w:pPr>
      <w:r>
        <w:rPr>
          <w:rFonts w:eastAsia="Calibri"/>
          <w:color w:val="auto"/>
          <w:kern w:val="2"/>
        </w:rPr>
        <w:t>Les travaux doivent par ailleurs être réalisés en assurant la continuité de l’exploitation du site.</w:t>
      </w:r>
    </w:p>
    <w:p w:rsidR="00C76715" w:rsidRDefault="00944E09">
      <w:pPr>
        <w:pStyle w:val="Titre2"/>
        <w:ind w:left="567" w:hanging="567"/>
      </w:pPr>
      <w:bookmarkStart w:id="6" w:name="_Toc234336698"/>
      <w:r>
        <w:t>Tranches</w:t>
      </w:r>
      <w:bookmarkEnd w:id="6"/>
    </w:p>
    <w:p w:rsidR="00C76715" w:rsidRDefault="00944E09">
      <w:pPr>
        <w:spacing w:before="120" w:after="0" w:line="240" w:lineRule="auto"/>
        <w:ind w:left="0" w:firstLine="0"/>
      </w:pPr>
      <w:r>
        <w:t>Le marché est découpé en deux lots, eux-mêmes découpés en tranches.</w:t>
      </w:r>
    </w:p>
    <w:p w:rsidR="00C76715" w:rsidRDefault="00944E09">
      <w:pPr>
        <w:spacing w:before="120" w:after="0" w:line="240" w:lineRule="auto"/>
        <w:ind w:left="0" w:firstLine="0"/>
      </w:pPr>
      <w:r>
        <w:t>Le pouvoir adjudicateur n’est engagé que sur les travaux décrits dans le CCTP en tranche ferme (TF) hors options.</w:t>
      </w:r>
    </w:p>
    <w:p w:rsidR="00C76715" w:rsidRDefault="00944E09">
      <w:pPr>
        <w:spacing w:before="120" w:after="0" w:line="240" w:lineRule="auto"/>
        <w:ind w:left="0" w:firstLine="0"/>
        <w:rPr>
          <w:u w:val="single"/>
        </w:rPr>
      </w:pPr>
      <w:r>
        <w:rPr>
          <w:u w:val="single"/>
        </w:rPr>
        <w:t>Lot n°1 </w:t>
      </w:r>
    </w:p>
    <w:p w:rsidR="00C76715" w:rsidRDefault="00944E09">
      <w:pPr>
        <w:spacing w:before="120" w:after="120" w:line="240" w:lineRule="auto"/>
        <w:ind w:left="0" w:firstLine="0"/>
        <w:rPr>
          <w:rFonts w:eastAsia="Times New Roman"/>
          <w:color w:val="auto"/>
          <w:szCs w:val="20"/>
        </w:rPr>
      </w:pPr>
      <w:r>
        <w:rPr>
          <w:rFonts w:eastAsia="Times New Roman"/>
          <w:color w:val="auto"/>
          <w:szCs w:val="20"/>
        </w:rPr>
        <w:t>Le lot n°1 comporte une tranche ferme (TF) et trois tranches optionnelles (TO).</w:t>
      </w:r>
    </w:p>
    <w:tbl>
      <w:tblPr>
        <w:tblStyle w:val="Grilledutableau"/>
        <w:tblW w:w="10044" w:type="dxa"/>
        <w:tblLayout w:type="fixed"/>
        <w:tblLook w:val="04A0" w:firstRow="1" w:lastRow="0" w:firstColumn="1" w:lastColumn="0" w:noHBand="0" w:noVBand="1"/>
      </w:tblPr>
      <w:tblGrid>
        <w:gridCol w:w="3113"/>
        <w:gridCol w:w="6931"/>
      </w:tblGrid>
      <w:tr w:rsidR="00C76715">
        <w:tc>
          <w:tcPr>
            <w:tcW w:w="3113" w:type="dxa"/>
            <w:shd w:val="clear" w:color="auto" w:fill="DEEAF6" w:themeFill="accent1" w:themeFillTint="33"/>
          </w:tcPr>
          <w:p w:rsidR="00C76715" w:rsidRDefault="00944E09">
            <w:pPr>
              <w:widowControl w:val="0"/>
              <w:spacing w:before="120" w:after="0" w:line="240" w:lineRule="auto"/>
              <w:ind w:left="0" w:firstLine="0"/>
              <w:textAlignment w:val="baseline"/>
              <w:rPr>
                <w:rFonts w:eastAsia="Times New Roman"/>
                <w:color w:val="auto"/>
                <w:szCs w:val="20"/>
              </w:rPr>
            </w:pPr>
            <w:r>
              <w:rPr>
                <w:rFonts w:eastAsia="Times New Roman"/>
                <w:color w:val="auto"/>
                <w:kern w:val="2"/>
                <w:szCs w:val="20"/>
              </w:rPr>
              <w:t>Tranche</w:t>
            </w:r>
          </w:p>
        </w:tc>
        <w:tc>
          <w:tcPr>
            <w:tcW w:w="6930" w:type="dxa"/>
            <w:shd w:val="clear" w:color="auto" w:fill="DEEAF6" w:themeFill="accent1" w:themeFillTint="33"/>
          </w:tcPr>
          <w:p w:rsidR="00C76715" w:rsidRDefault="00944E09">
            <w:pPr>
              <w:widowControl w:val="0"/>
              <w:spacing w:before="120" w:after="0" w:line="240" w:lineRule="auto"/>
              <w:ind w:left="0" w:firstLine="0"/>
              <w:textAlignment w:val="baseline"/>
              <w:rPr>
                <w:rFonts w:eastAsia="Times New Roman"/>
                <w:color w:val="auto"/>
                <w:szCs w:val="20"/>
              </w:rPr>
            </w:pPr>
            <w:r>
              <w:rPr>
                <w:rFonts w:eastAsia="Times New Roman"/>
                <w:color w:val="auto"/>
                <w:kern w:val="2"/>
                <w:szCs w:val="20"/>
              </w:rPr>
              <w:t>Objet</w:t>
            </w:r>
          </w:p>
        </w:tc>
      </w:tr>
      <w:tr w:rsidR="00C76715">
        <w:tc>
          <w:tcPr>
            <w:tcW w:w="3113" w:type="dxa"/>
          </w:tcPr>
          <w:p w:rsidR="00C76715" w:rsidRDefault="00944E09">
            <w:pPr>
              <w:widowControl w:val="0"/>
              <w:spacing w:before="120" w:after="0" w:line="240" w:lineRule="auto"/>
              <w:ind w:left="0" w:firstLine="0"/>
              <w:textAlignment w:val="baseline"/>
              <w:rPr>
                <w:rFonts w:eastAsia="Times New Roman"/>
                <w:color w:val="auto"/>
                <w:szCs w:val="20"/>
              </w:rPr>
            </w:pPr>
            <w:r>
              <w:rPr>
                <w:rFonts w:eastAsia="Times New Roman"/>
                <w:color w:val="auto"/>
                <w:kern w:val="2"/>
                <w:szCs w:val="20"/>
              </w:rPr>
              <w:t>Tranche ferme (TF)</w:t>
            </w:r>
          </w:p>
        </w:tc>
        <w:tc>
          <w:tcPr>
            <w:tcW w:w="6930" w:type="dxa"/>
          </w:tcPr>
          <w:p w:rsidR="00C76715" w:rsidRDefault="00944E09">
            <w:pPr>
              <w:widowControl w:val="0"/>
              <w:spacing w:before="120" w:after="120" w:line="240" w:lineRule="auto"/>
              <w:ind w:left="0" w:firstLine="0"/>
              <w:textAlignment w:val="baseline"/>
              <w:rPr>
                <w:rFonts w:eastAsia="Times New Roman"/>
                <w:color w:val="auto"/>
              </w:rPr>
            </w:pPr>
            <w:r>
              <w:rPr>
                <w:rFonts w:eastAsia="Times New Roman"/>
                <w:color w:val="auto"/>
                <w:kern w:val="2"/>
              </w:rPr>
              <w:t>Traitement des effluents des réservoirs – vannes d’exploitation et clapets feu à sécurité positive – équipements supplémentaires dans le débourbeur final – équipements et raccordement gare racleurs – Dispositifs d’alerte POI/PPI – FM 200 – étanchéité des regards du réservoir d’égouttures – remplacement du poste de livraison HTA 20 KV – électricité et automatismes.</w:t>
            </w:r>
          </w:p>
        </w:tc>
      </w:tr>
      <w:tr w:rsidR="00C76715">
        <w:tc>
          <w:tcPr>
            <w:tcW w:w="3113" w:type="dxa"/>
          </w:tcPr>
          <w:p w:rsidR="00C76715" w:rsidRPr="00922446" w:rsidRDefault="00944E09">
            <w:pPr>
              <w:widowControl w:val="0"/>
              <w:spacing w:before="120" w:after="0" w:line="240" w:lineRule="auto"/>
              <w:ind w:left="0" w:firstLine="0"/>
              <w:textAlignment w:val="baseline"/>
              <w:rPr>
                <w:rFonts w:eastAsia="Times New Roman"/>
                <w:color w:val="auto"/>
                <w:sz w:val="22"/>
                <w:szCs w:val="22"/>
              </w:rPr>
            </w:pPr>
            <w:r w:rsidRPr="00922446">
              <w:rPr>
                <w:kern w:val="2"/>
                <w:sz w:val="22"/>
                <w:szCs w:val="22"/>
              </w:rPr>
              <w:t>Tranche Optionnelle 1 (TO 1)</w:t>
            </w:r>
          </w:p>
        </w:tc>
        <w:tc>
          <w:tcPr>
            <w:tcW w:w="6930" w:type="dxa"/>
          </w:tcPr>
          <w:p w:rsidR="00C76715" w:rsidRDefault="00944E09">
            <w:pPr>
              <w:widowControl w:val="0"/>
              <w:spacing w:before="120" w:after="120" w:line="240" w:lineRule="auto"/>
              <w:ind w:left="0" w:firstLine="0"/>
              <w:textAlignment w:val="baseline"/>
              <w:rPr>
                <w:rFonts w:eastAsia="Times New Roman"/>
                <w:color w:val="auto"/>
                <w:szCs w:val="20"/>
              </w:rPr>
            </w:pPr>
            <w:r>
              <w:rPr>
                <w:kern w:val="2"/>
              </w:rPr>
              <w:t>remplacement de la réserve d’eau incendie,</w:t>
            </w:r>
          </w:p>
        </w:tc>
      </w:tr>
      <w:tr w:rsidR="00C76715">
        <w:tc>
          <w:tcPr>
            <w:tcW w:w="3113" w:type="dxa"/>
          </w:tcPr>
          <w:p w:rsidR="00C76715" w:rsidRDefault="00944E09">
            <w:pPr>
              <w:widowControl w:val="0"/>
              <w:spacing w:before="120" w:after="0" w:line="240" w:lineRule="auto"/>
              <w:ind w:left="0" w:firstLine="0"/>
              <w:textAlignment w:val="baseline"/>
              <w:rPr>
                <w:rFonts w:eastAsia="Times New Roman"/>
                <w:color w:val="auto"/>
                <w:szCs w:val="20"/>
              </w:rPr>
            </w:pPr>
            <w:r>
              <w:rPr>
                <w:kern w:val="2"/>
              </w:rPr>
              <w:t>TO 2</w:t>
            </w:r>
          </w:p>
        </w:tc>
        <w:tc>
          <w:tcPr>
            <w:tcW w:w="6930" w:type="dxa"/>
          </w:tcPr>
          <w:p w:rsidR="00C76715" w:rsidRDefault="00944E09">
            <w:pPr>
              <w:widowControl w:val="0"/>
              <w:spacing w:before="120" w:after="120" w:line="240" w:lineRule="auto"/>
              <w:ind w:left="0" w:firstLine="0"/>
              <w:textAlignment w:val="baseline"/>
              <w:rPr>
                <w:rFonts w:eastAsia="Times New Roman"/>
                <w:color w:val="auto"/>
                <w:szCs w:val="20"/>
              </w:rPr>
            </w:pPr>
            <w:r>
              <w:rPr>
                <w:kern w:val="2"/>
              </w:rPr>
              <w:t>remplacement du dispositif d’assainissement non collectif , des travaux sur le réseau d’eau potable</w:t>
            </w:r>
          </w:p>
        </w:tc>
      </w:tr>
      <w:tr w:rsidR="00C76715">
        <w:tc>
          <w:tcPr>
            <w:tcW w:w="3113" w:type="dxa"/>
          </w:tcPr>
          <w:p w:rsidR="00C76715" w:rsidRDefault="00944E09">
            <w:pPr>
              <w:widowControl w:val="0"/>
              <w:spacing w:before="120" w:after="0" w:line="240" w:lineRule="auto"/>
              <w:ind w:left="0" w:firstLine="0"/>
              <w:textAlignment w:val="baseline"/>
              <w:rPr>
                <w:rFonts w:eastAsia="Times New Roman"/>
                <w:color w:val="auto"/>
                <w:szCs w:val="20"/>
              </w:rPr>
            </w:pPr>
            <w:r>
              <w:rPr>
                <w:kern w:val="2"/>
              </w:rPr>
              <w:t>TO 3</w:t>
            </w:r>
          </w:p>
        </w:tc>
        <w:tc>
          <w:tcPr>
            <w:tcW w:w="6930" w:type="dxa"/>
          </w:tcPr>
          <w:p w:rsidR="00C76715" w:rsidRDefault="00944E09">
            <w:pPr>
              <w:widowControl w:val="0"/>
              <w:spacing w:before="120" w:after="120" w:line="240" w:lineRule="auto"/>
              <w:ind w:left="0" w:firstLine="0"/>
              <w:textAlignment w:val="baseline"/>
              <w:rPr>
                <w:rFonts w:eastAsia="Times New Roman"/>
                <w:color w:val="auto"/>
                <w:szCs w:val="20"/>
              </w:rPr>
            </w:pPr>
            <w:r>
              <w:rPr>
                <w:kern w:val="2"/>
              </w:rPr>
              <w:t>fourniture et mise en place d’aspirations flottantes dans les réservoirs, la fourniture et mise en place de drains de toit flexibles dans les réservoirs</w:t>
            </w:r>
          </w:p>
        </w:tc>
      </w:tr>
    </w:tbl>
    <w:p w:rsidR="00C76715" w:rsidRDefault="00944E09">
      <w:pPr>
        <w:spacing w:before="120" w:after="0" w:line="240" w:lineRule="auto"/>
        <w:ind w:left="0" w:firstLine="0"/>
        <w:rPr>
          <w:u w:val="single"/>
        </w:rPr>
      </w:pPr>
      <w:r>
        <w:rPr>
          <w:u w:val="single"/>
        </w:rPr>
        <w:t xml:space="preserve">Le lot n°2 </w:t>
      </w:r>
    </w:p>
    <w:p w:rsidR="002B5C63" w:rsidRDefault="00944E09">
      <w:pPr>
        <w:spacing w:before="120" w:after="0" w:line="240" w:lineRule="auto"/>
        <w:ind w:left="0" w:firstLine="0"/>
      </w:pPr>
      <w:r>
        <w:t>Ce lot comporte une tranche ferme et trois tranches optionnelle qui correspondent aux TO du lot 1.</w:t>
      </w:r>
    </w:p>
    <w:tbl>
      <w:tblPr>
        <w:tblStyle w:val="Grilledutableau"/>
        <w:tblW w:w="10044" w:type="dxa"/>
        <w:tblLayout w:type="fixed"/>
        <w:tblLook w:val="04A0" w:firstRow="1" w:lastRow="0" w:firstColumn="1" w:lastColumn="0" w:noHBand="0" w:noVBand="1"/>
      </w:tblPr>
      <w:tblGrid>
        <w:gridCol w:w="3113"/>
        <w:gridCol w:w="6931"/>
      </w:tblGrid>
      <w:tr w:rsidR="002B5C63" w:rsidRPr="002B5C63" w:rsidTr="005D472E">
        <w:tc>
          <w:tcPr>
            <w:tcW w:w="3113" w:type="dxa"/>
            <w:shd w:val="clear" w:color="auto" w:fill="DEEAF6" w:themeFill="accent1" w:themeFillTint="33"/>
          </w:tcPr>
          <w:p w:rsidR="002B5C63" w:rsidRPr="002B5C63" w:rsidRDefault="002B5C63" w:rsidP="002B5C63">
            <w:pPr>
              <w:spacing w:before="120" w:after="0" w:line="240" w:lineRule="auto"/>
              <w:ind w:left="0" w:firstLine="0"/>
              <w:rPr>
                <w:sz w:val="22"/>
                <w:szCs w:val="22"/>
                <w:lang w:eastAsia="fr-FR" w:bidi="ar-SA"/>
              </w:rPr>
            </w:pPr>
            <w:r w:rsidRPr="002B5C63">
              <w:rPr>
                <w:sz w:val="22"/>
                <w:szCs w:val="22"/>
                <w:lang w:eastAsia="fr-FR" w:bidi="ar-SA"/>
              </w:rPr>
              <w:t>Tranche</w:t>
            </w:r>
          </w:p>
        </w:tc>
        <w:tc>
          <w:tcPr>
            <w:tcW w:w="6930" w:type="dxa"/>
            <w:shd w:val="clear" w:color="auto" w:fill="DEEAF6" w:themeFill="accent1" w:themeFillTint="33"/>
          </w:tcPr>
          <w:p w:rsidR="002B5C63" w:rsidRPr="002B5C63" w:rsidRDefault="002B5C63" w:rsidP="002B5C63">
            <w:pPr>
              <w:spacing w:before="120" w:after="0" w:line="240" w:lineRule="auto"/>
              <w:ind w:left="0" w:firstLine="0"/>
              <w:rPr>
                <w:sz w:val="22"/>
                <w:szCs w:val="22"/>
                <w:lang w:eastAsia="fr-FR" w:bidi="ar-SA"/>
              </w:rPr>
            </w:pPr>
            <w:r w:rsidRPr="002B5C63">
              <w:rPr>
                <w:sz w:val="22"/>
                <w:szCs w:val="22"/>
                <w:lang w:eastAsia="fr-FR" w:bidi="ar-SA"/>
              </w:rPr>
              <w:t>Objet</w:t>
            </w:r>
          </w:p>
        </w:tc>
      </w:tr>
      <w:tr w:rsidR="002B5C63" w:rsidRPr="002B5C63" w:rsidTr="005D472E">
        <w:tc>
          <w:tcPr>
            <w:tcW w:w="3113" w:type="dxa"/>
          </w:tcPr>
          <w:p w:rsidR="002B5C63" w:rsidRPr="002B5C63" w:rsidRDefault="002B5C63" w:rsidP="002B5C63">
            <w:pPr>
              <w:spacing w:before="120" w:after="0" w:line="240" w:lineRule="auto"/>
              <w:ind w:left="0" w:firstLine="0"/>
              <w:rPr>
                <w:sz w:val="22"/>
                <w:szCs w:val="22"/>
                <w:lang w:eastAsia="fr-FR" w:bidi="ar-SA"/>
              </w:rPr>
            </w:pPr>
            <w:r w:rsidRPr="002B5C63">
              <w:rPr>
                <w:sz w:val="22"/>
                <w:szCs w:val="22"/>
                <w:lang w:eastAsia="fr-FR" w:bidi="ar-SA"/>
              </w:rPr>
              <w:t>Tranche ferme (TF)</w:t>
            </w:r>
          </w:p>
        </w:tc>
        <w:tc>
          <w:tcPr>
            <w:tcW w:w="6930" w:type="dxa"/>
          </w:tcPr>
          <w:p w:rsidR="002B5C63" w:rsidRPr="002B5C63" w:rsidRDefault="002B5C63" w:rsidP="002B5C63">
            <w:pPr>
              <w:spacing w:before="120" w:after="0" w:line="240" w:lineRule="auto"/>
              <w:ind w:left="0" w:firstLine="0"/>
              <w:rPr>
                <w:sz w:val="22"/>
                <w:szCs w:val="22"/>
                <w:lang w:eastAsia="fr-FR" w:bidi="ar-SA"/>
              </w:rPr>
            </w:pPr>
            <w:r>
              <w:rPr>
                <w:sz w:val="22"/>
                <w:szCs w:val="22"/>
                <w:lang w:eastAsia="fr-FR" w:bidi="ar-SA"/>
              </w:rPr>
              <w:t>Mission OPC et contrôle des accès lors des travaux de t</w:t>
            </w:r>
            <w:r w:rsidRPr="002B5C63">
              <w:rPr>
                <w:sz w:val="22"/>
                <w:szCs w:val="22"/>
                <w:lang w:eastAsia="fr-FR" w:bidi="ar-SA"/>
              </w:rPr>
              <w:t>raitement des effluents des réservoirs – vannes d’exploitation et clapets feu à sécurité positive – équipements supplémentaires dans le débourbeur final – équipements et raccordement gare racleurs – Dispositifs d’alerte POI/PPI – FM 200 – étanchéité des regards du réservoir d’égouttures – remplacement du poste de livraison HTA 20 KV – électricité et automatismes.</w:t>
            </w:r>
          </w:p>
        </w:tc>
      </w:tr>
      <w:tr w:rsidR="002B5C63" w:rsidRPr="002B5C63" w:rsidTr="005D472E">
        <w:tc>
          <w:tcPr>
            <w:tcW w:w="3113" w:type="dxa"/>
          </w:tcPr>
          <w:p w:rsidR="002B5C63" w:rsidRPr="002B5C63" w:rsidRDefault="002B5C63" w:rsidP="002B5C63">
            <w:pPr>
              <w:spacing w:before="120" w:after="0" w:line="240" w:lineRule="auto"/>
              <w:ind w:left="0" w:firstLine="0"/>
              <w:rPr>
                <w:sz w:val="22"/>
                <w:szCs w:val="22"/>
                <w:lang w:eastAsia="fr-FR" w:bidi="ar-SA"/>
              </w:rPr>
            </w:pPr>
            <w:r w:rsidRPr="002B5C63">
              <w:rPr>
                <w:sz w:val="22"/>
                <w:szCs w:val="22"/>
                <w:lang w:eastAsia="fr-FR" w:bidi="ar-SA"/>
              </w:rPr>
              <w:t>Tranche Optionnelle 1 (TO 1)</w:t>
            </w:r>
          </w:p>
        </w:tc>
        <w:tc>
          <w:tcPr>
            <w:tcW w:w="6930" w:type="dxa"/>
          </w:tcPr>
          <w:p w:rsidR="002B5C63" w:rsidRPr="002B5C63" w:rsidRDefault="002B5C63" w:rsidP="002B5C63">
            <w:pPr>
              <w:spacing w:before="120" w:after="0" w:line="240" w:lineRule="auto"/>
              <w:ind w:left="0" w:firstLine="0"/>
              <w:rPr>
                <w:sz w:val="22"/>
                <w:szCs w:val="22"/>
                <w:lang w:eastAsia="fr-FR" w:bidi="ar-SA"/>
              </w:rPr>
            </w:pPr>
            <w:r w:rsidRPr="002B5C63">
              <w:rPr>
                <w:sz w:val="22"/>
                <w:szCs w:val="22"/>
                <w:lang w:eastAsia="fr-FR" w:bidi="ar-SA"/>
              </w:rPr>
              <w:t xml:space="preserve">Mission OPC et contrôle des accès lors </w:t>
            </w:r>
            <w:r>
              <w:rPr>
                <w:sz w:val="22"/>
                <w:szCs w:val="22"/>
                <w:lang w:eastAsia="fr-FR" w:bidi="ar-SA"/>
              </w:rPr>
              <w:t xml:space="preserve">du </w:t>
            </w:r>
            <w:r w:rsidRPr="002B5C63">
              <w:rPr>
                <w:sz w:val="22"/>
                <w:szCs w:val="22"/>
                <w:lang w:eastAsia="fr-FR" w:bidi="ar-SA"/>
              </w:rPr>
              <w:t>remplacement de la réserve d’eau incendie,</w:t>
            </w:r>
          </w:p>
        </w:tc>
      </w:tr>
      <w:tr w:rsidR="002B5C63" w:rsidRPr="002B5C63" w:rsidTr="005D472E">
        <w:tc>
          <w:tcPr>
            <w:tcW w:w="3113" w:type="dxa"/>
          </w:tcPr>
          <w:p w:rsidR="002B5C63" w:rsidRPr="002B5C63" w:rsidRDefault="002B5C63" w:rsidP="002B5C63">
            <w:pPr>
              <w:spacing w:before="120" w:after="0" w:line="240" w:lineRule="auto"/>
              <w:ind w:left="0" w:firstLine="0"/>
              <w:rPr>
                <w:sz w:val="22"/>
                <w:szCs w:val="22"/>
                <w:lang w:eastAsia="fr-FR" w:bidi="ar-SA"/>
              </w:rPr>
            </w:pPr>
            <w:r w:rsidRPr="002B5C63">
              <w:rPr>
                <w:sz w:val="22"/>
                <w:szCs w:val="22"/>
                <w:lang w:eastAsia="fr-FR" w:bidi="ar-SA"/>
              </w:rPr>
              <w:t>TO 2</w:t>
            </w:r>
          </w:p>
        </w:tc>
        <w:tc>
          <w:tcPr>
            <w:tcW w:w="6930" w:type="dxa"/>
          </w:tcPr>
          <w:p w:rsidR="002B5C63" w:rsidRPr="002B5C63" w:rsidRDefault="002B5C63" w:rsidP="002B5C63">
            <w:pPr>
              <w:spacing w:before="120" w:after="0" w:line="240" w:lineRule="auto"/>
              <w:ind w:left="0" w:firstLine="0"/>
              <w:rPr>
                <w:sz w:val="22"/>
                <w:szCs w:val="22"/>
                <w:lang w:eastAsia="fr-FR" w:bidi="ar-SA"/>
              </w:rPr>
            </w:pPr>
            <w:r w:rsidRPr="002B5C63">
              <w:rPr>
                <w:sz w:val="22"/>
                <w:szCs w:val="22"/>
                <w:lang w:eastAsia="fr-FR" w:bidi="ar-SA"/>
              </w:rPr>
              <w:t xml:space="preserve">Mission OPC et contrôle des accès lors </w:t>
            </w:r>
            <w:r>
              <w:rPr>
                <w:sz w:val="22"/>
                <w:szCs w:val="22"/>
                <w:lang w:eastAsia="fr-FR" w:bidi="ar-SA"/>
              </w:rPr>
              <w:t xml:space="preserve">du </w:t>
            </w:r>
            <w:r w:rsidRPr="002B5C63">
              <w:rPr>
                <w:sz w:val="22"/>
                <w:szCs w:val="22"/>
                <w:lang w:eastAsia="fr-FR" w:bidi="ar-SA"/>
              </w:rPr>
              <w:t>remplacement du dispositif d’assainissement non collectif , des travaux sur le réseau d’eau potable</w:t>
            </w:r>
          </w:p>
        </w:tc>
      </w:tr>
      <w:tr w:rsidR="002B5C63" w:rsidRPr="002B5C63" w:rsidTr="005D472E">
        <w:tc>
          <w:tcPr>
            <w:tcW w:w="3113" w:type="dxa"/>
          </w:tcPr>
          <w:p w:rsidR="002B5C63" w:rsidRPr="002B5C63" w:rsidRDefault="002B5C63" w:rsidP="002B5C63">
            <w:pPr>
              <w:spacing w:before="120" w:after="0" w:line="240" w:lineRule="auto"/>
              <w:ind w:left="0" w:firstLine="0"/>
              <w:rPr>
                <w:sz w:val="22"/>
                <w:szCs w:val="22"/>
                <w:lang w:eastAsia="fr-FR" w:bidi="ar-SA"/>
              </w:rPr>
            </w:pPr>
            <w:r w:rsidRPr="002B5C63">
              <w:rPr>
                <w:sz w:val="22"/>
                <w:szCs w:val="22"/>
                <w:lang w:eastAsia="fr-FR" w:bidi="ar-SA"/>
              </w:rPr>
              <w:t>TO 3</w:t>
            </w:r>
          </w:p>
        </w:tc>
        <w:tc>
          <w:tcPr>
            <w:tcW w:w="6930" w:type="dxa"/>
          </w:tcPr>
          <w:p w:rsidR="002B5C63" w:rsidRPr="002B5C63" w:rsidRDefault="002B5C63" w:rsidP="002B5C63">
            <w:pPr>
              <w:spacing w:before="120" w:after="0" w:line="240" w:lineRule="auto"/>
              <w:ind w:left="0" w:firstLine="0"/>
              <w:rPr>
                <w:sz w:val="22"/>
                <w:szCs w:val="22"/>
                <w:lang w:eastAsia="fr-FR" w:bidi="ar-SA"/>
              </w:rPr>
            </w:pPr>
            <w:r w:rsidRPr="002B5C63">
              <w:rPr>
                <w:sz w:val="22"/>
                <w:szCs w:val="22"/>
                <w:lang w:eastAsia="fr-FR" w:bidi="ar-SA"/>
              </w:rPr>
              <w:t xml:space="preserve">Mission OPC et contrôle des accès lors </w:t>
            </w:r>
            <w:r>
              <w:rPr>
                <w:sz w:val="22"/>
                <w:szCs w:val="22"/>
                <w:lang w:eastAsia="fr-FR" w:bidi="ar-SA"/>
              </w:rPr>
              <w:t xml:space="preserve">de la </w:t>
            </w:r>
            <w:r w:rsidRPr="002B5C63">
              <w:rPr>
                <w:sz w:val="22"/>
                <w:szCs w:val="22"/>
                <w:lang w:eastAsia="fr-FR" w:bidi="ar-SA"/>
              </w:rPr>
              <w:t>fourniture et mise en place d’aspirations flottantes dans les réservoirs, la fourniture et mise en place de drains de toit flexibles dans les réservoirs</w:t>
            </w:r>
          </w:p>
        </w:tc>
      </w:tr>
    </w:tbl>
    <w:p w:rsidR="002B5C63" w:rsidRDefault="002B5C63">
      <w:pPr>
        <w:spacing w:before="120" w:after="0" w:line="240" w:lineRule="auto"/>
        <w:ind w:left="0" w:firstLine="0"/>
      </w:pPr>
    </w:p>
    <w:p w:rsidR="00C76715" w:rsidRDefault="00944E09">
      <w:pPr>
        <w:pStyle w:val="Titre2"/>
        <w:ind w:left="567" w:hanging="567"/>
      </w:pPr>
      <w:bookmarkStart w:id="7" w:name="_Toc234336699"/>
      <w:r>
        <w:t>Durée du marché</w:t>
      </w:r>
      <w:bookmarkEnd w:id="7"/>
    </w:p>
    <w:p w:rsidR="00C76715" w:rsidRDefault="00944E09">
      <w:pPr>
        <w:spacing w:before="120" w:after="120" w:line="240" w:lineRule="auto"/>
        <w:ind w:left="0" w:firstLine="0"/>
      </w:pPr>
      <w:r>
        <w:t>La durée prévisionnelle du marché est de dix -sept (17) mois pour le lot 1 comprenant les 2 mois de période de préparation :</w:t>
      </w:r>
    </w:p>
    <w:tbl>
      <w:tblPr>
        <w:tblStyle w:val="Grilledutableau"/>
        <w:tblW w:w="10044" w:type="dxa"/>
        <w:tblLayout w:type="fixed"/>
        <w:tblLook w:val="04A0" w:firstRow="1" w:lastRow="0" w:firstColumn="1" w:lastColumn="0" w:noHBand="0" w:noVBand="1"/>
      </w:tblPr>
      <w:tblGrid>
        <w:gridCol w:w="1231"/>
        <w:gridCol w:w="2874"/>
        <w:gridCol w:w="5939"/>
      </w:tblGrid>
      <w:tr w:rsidR="00C76715">
        <w:tc>
          <w:tcPr>
            <w:tcW w:w="1231" w:type="dxa"/>
            <w:shd w:val="clear" w:color="auto" w:fill="DEEAF6" w:themeFill="accent1" w:themeFillTint="33"/>
          </w:tcPr>
          <w:p w:rsidR="00C76715" w:rsidRDefault="00944E09">
            <w:pPr>
              <w:widowControl w:val="0"/>
              <w:spacing w:before="120" w:after="0" w:line="240" w:lineRule="auto"/>
              <w:ind w:left="0" w:firstLine="0"/>
              <w:textAlignment w:val="baseline"/>
              <w:rPr>
                <w:rFonts w:eastAsia="Times New Roman"/>
                <w:color w:val="auto"/>
                <w:szCs w:val="20"/>
              </w:rPr>
            </w:pPr>
            <w:r>
              <w:rPr>
                <w:rFonts w:eastAsia="Times New Roman"/>
                <w:color w:val="auto"/>
                <w:kern w:val="2"/>
                <w:szCs w:val="20"/>
              </w:rPr>
              <w:t>Tranche</w:t>
            </w:r>
          </w:p>
        </w:tc>
        <w:tc>
          <w:tcPr>
            <w:tcW w:w="2874" w:type="dxa"/>
            <w:shd w:val="clear" w:color="auto" w:fill="DEEAF6" w:themeFill="accent1" w:themeFillTint="33"/>
          </w:tcPr>
          <w:p w:rsidR="00C76715" w:rsidRDefault="00944E09">
            <w:pPr>
              <w:widowControl w:val="0"/>
              <w:spacing w:before="120" w:after="0" w:line="240" w:lineRule="auto"/>
              <w:ind w:left="0" w:firstLine="0"/>
              <w:textAlignment w:val="baseline"/>
              <w:rPr>
                <w:rFonts w:eastAsia="Times New Roman"/>
                <w:color w:val="auto"/>
                <w:szCs w:val="20"/>
              </w:rPr>
            </w:pPr>
            <w:r>
              <w:rPr>
                <w:rFonts w:eastAsia="Times New Roman"/>
                <w:color w:val="auto"/>
                <w:kern w:val="2"/>
                <w:szCs w:val="20"/>
              </w:rPr>
              <w:t>Période de préparation</w:t>
            </w:r>
          </w:p>
        </w:tc>
        <w:tc>
          <w:tcPr>
            <w:tcW w:w="5939" w:type="dxa"/>
            <w:shd w:val="clear" w:color="auto" w:fill="DEEAF6" w:themeFill="accent1" w:themeFillTint="33"/>
          </w:tcPr>
          <w:p w:rsidR="00C76715" w:rsidRDefault="00944E09">
            <w:pPr>
              <w:widowControl w:val="0"/>
              <w:spacing w:before="120" w:after="0" w:line="240" w:lineRule="auto"/>
              <w:ind w:left="0" w:firstLine="0"/>
              <w:textAlignment w:val="baseline"/>
              <w:rPr>
                <w:rFonts w:eastAsia="Times New Roman"/>
                <w:color w:val="auto"/>
                <w:szCs w:val="20"/>
              </w:rPr>
            </w:pPr>
            <w:r>
              <w:rPr>
                <w:rFonts w:eastAsia="Times New Roman"/>
                <w:color w:val="auto"/>
                <w:kern w:val="2"/>
                <w:szCs w:val="20"/>
              </w:rPr>
              <w:t>Période d’exécution des travaux</w:t>
            </w:r>
          </w:p>
        </w:tc>
      </w:tr>
      <w:tr w:rsidR="00C76715">
        <w:tc>
          <w:tcPr>
            <w:tcW w:w="1231" w:type="dxa"/>
          </w:tcPr>
          <w:p w:rsidR="00C76715" w:rsidRDefault="00944E09">
            <w:pPr>
              <w:widowControl w:val="0"/>
              <w:spacing w:before="120" w:after="0" w:line="240" w:lineRule="auto"/>
              <w:ind w:left="0" w:firstLine="0"/>
              <w:textAlignment w:val="baseline"/>
              <w:rPr>
                <w:rFonts w:eastAsia="Times New Roman"/>
                <w:color w:val="auto"/>
                <w:szCs w:val="20"/>
              </w:rPr>
            </w:pPr>
            <w:r>
              <w:rPr>
                <w:rFonts w:eastAsia="Times New Roman"/>
                <w:color w:val="auto"/>
                <w:kern w:val="2"/>
                <w:szCs w:val="20"/>
              </w:rPr>
              <w:t>TF</w:t>
            </w:r>
          </w:p>
        </w:tc>
        <w:tc>
          <w:tcPr>
            <w:tcW w:w="2874" w:type="dxa"/>
          </w:tcPr>
          <w:p w:rsidR="00C76715" w:rsidRDefault="00944E09">
            <w:pPr>
              <w:widowControl w:val="0"/>
              <w:spacing w:before="120" w:after="0" w:line="240" w:lineRule="auto"/>
              <w:ind w:left="0" w:firstLine="0"/>
              <w:jc w:val="center"/>
              <w:textAlignment w:val="baseline"/>
              <w:rPr>
                <w:rFonts w:eastAsia="Times New Roman"/>
                <w:color w:val="auto"/>
                <w:szCs w:val="20"/>
                <w:highlight w:val="yellow"/>
              </w:rPr>
            </w:pPr>
            <w:r>
              <w:rPr>
                <w:rFonts w:eastAsia="Times New Roman"/>
                <w:color w:val="auto"/>
                <w:kern w:val="2"/>
                <w:szCs w:val="20"/>
              </w:rPr>
              <w:t>2 mois</w:t>
            </w:r>
          </w:p>
        </w:tc>
        <w:tc>
          <w:tcPr>
            <w:tcW w:w="5939" w:type="dxa"/>
          </w:tcPr>
          <w:p w:rsidR="00C76715" w:rsidRDefault="00944E09">
            <w:pPr>
              <w:widowControl w:val="0"/>
              <w:spacing w:before="120" w:after="0" w:line="240" w:lineRule="auto"/>
              <w:ind w:left="0" w:firstLine="0"/>
              <w:jc w:val="center"/>
              <w:textAlignment w:val="baseline"/>
              <w:rPr>
                <w:rFonts w:eastAsia="Times New Roman"/>
                <w:color w:val="auto"/>
                <w:szCs w:val="20"/>
              </w:rPr>
            </w:pPr>
            <w:r>
              <w:rPr>
                <w:rFonts w:eastAsia="Times New Roman"/>
                <w:color w:val="auto"/>
                <w:kern w:val="2"/>
                <w:szCs w:val="20"/>
              </w:rPr>
              <w:t>6 mois</w:t>
            </w:r>
          </w:p>
        </w:tc>
      </w:tr>
      <w:tr w:rsidR="00C76715">
        <w:tc>
          <w:tcPr>
            <w:tcW w:w="1231" w:type="dxa"/>
          </w:tcPr>
          <w:p w:rsidR="00C76715" w:rsidRDefault="00944E09">
            <w:pPr>
              <w:widowControl w:val="0"/>
              <w:spacing w:before="120" w:after="0" w:line="240" w:lineRule="auto"/>
              <w:ind w:left="0" w:firstLine="0"/>
              <w:textAlignment w:val="baseline"/>
              <w:rPr>
                <w:rFonts w:eastAsia="Times New Roman"/>
                <w:color w:val="auto"/>
                <w:szCs w:val="20"/>
              </w:rPr>
            </w:pPr>
            <w:r>
              <w:rPr>
                <w:kern w:val="2"/>
              </w:rPr>
              <w:t>TO 1</w:t>
            </w:r>
          </w:p>
        </w:tc>
        <w:tc>
          <w:tcPr>
            <w:tcW w:w="2874" w:type="dxa"/>
          </w:tcPr>
          <w:p w:rsidR="00C76715" w:rsidRDefault="00944E09">
            <w:pPr>
              <w:widowControl w:val="0"/>
              <w:spacing w:before="120" w:after="0" w:line="240" w:lineRule="auto"/>
              <w:ind w:left="0" w:firstLine="0"/>
              <w:jc w:val="center"/>
              <w:textAlignment w:val="baseline"/>
              <w:rPr>
                <w:kern w:val="2"/>
              </w:rPr>
            </w:pPr>
            <w:r>
              <w:rPr>
                <w:kern w:val="2"/>
              </w:rPr>
              <w:t>/</w:t>
            </w:r>
          </w:p>
        </w:tc>
        <w:tc>
          <w:tcPr>
            <w:tcW w:w="5939" w:type="dxa"/>
          </w:tcPr>
          <w:p w:rsidR="00C76715" w:rsidRDefault="00944E09">
            <w:pPr>
              <w:widowControl w:val="0"/>
              <w:spacing w:before="120" w:after="0" w:line="240" w:lineRule="auto"/>
              <w:ind w:left="0" w:firstLine="0"/>
              <w:jc w:val="center"/>
              <w:textAlignment w:val="baseline"/>
              <w:rPr>
                <w:rFonts w:eastAsia="Times New Roman"/>
                <w:color w:val="auto"/>
                <w:szCs w:val="20"/>
              </w:rPr>
            </w:pPr>
            <w:r>
              <w:rPr>
                <w:kern w:val="2"/>
              </w:rPr>
              <w:t>3 mois</w:t>
            </w:r>
          </w:p>
        </w:tc>
      </w:tr>
      <w:tr w:rsidR="00C76715">
        <w:tc>
          <w:tcPr>
            <w:tcW w:w="1231" w:type="dxa"/>
          </w:tcPr>
          <w:p w:rsidR="00C76715" w:rsidRDefault="00944E09">
            <w:pPr>
              <w:widowControl w:val="0"/>
              <w:spacing w:before="120" w:after="0" w:line="240" w:lineRule="auto"/>
              <w:ind w:left="0" w:firstLine="0"/>
              <w:textAlignment w:val="baseline"/>
              <w:rPr>
                <w:rFonts w:eastAsia="Times New Roman"/>
                <w:color w:val="auto"/>
                <w:szCs w:val="20"/>
              </w:rPr>
            </w:pPr>
            <w:r>
              <w:rPr>
                <w:kern w:val="2"/>
              </w:rPr>
              <w:t>TO 2</w:t>
            </w:r>
          </w:p>
        </w:tc>
        <w:tc>
          <w:tcPr>
            <w:tcW w:w="2874" w:type="dxa"/>
          </w:tcPr>
          <w:p w:rsidR="00C76715" w:rsidRDefault="00944E09">
            <w:pPr>
              <w:widowControl w:val="0"/>
              <w:spacing w:before="120" w:after="0" w:line="240" w:lineRule="auto"/>
              <w:ind w:left="0" w:firstLine="0"/>
              <w:jc w:val="center"/>
              <w:textAlignment w:val="baseline"/>
              <w:rPr>
                <w:kern w:val="2"/>
              </w:rPr>
            </w:pPr>
            <w:r>
              <w:rPr>
                <w:kern w:val="2"/>
              </w:rPr>
              <w:t>/</w:t>
            </w:r>
          </w:p>
        </w:tc>
        <w:tc>
          <w:tcPr>
            <w:tcW w:w="5939" w:type="dxa"/>
          </w:tcPr>
          <w:p w:rsidR="00C76715" w:rsidRDefault="00944E09">
            <w:pPr>
              <w:widowControl w:val="0"/>
              <w:spacing w:before="120" w:after="0" w:line="240" w:lineRule="auto"/>
              <w:ind w:left="0" w:firstLine="0"/>
              <w:jc w:val="center"/>
              <w:textAlignment w:val="baseline"/>
              <w:rPr>
                <w:rFonts w:eastAsia="Times New Roman"/>
                <w:color w:val="auto"/>
                <w:szCs w:val="20"/>
              </w:rPr>
            </w:pPr>
            <w:r>
              <w:rPr>
                <w:kern w:val="2"/>
              </w:rPr>
              <w:t>3 mois</w:t>
            </w:r>
          </w:p>
        </w:tc>
      </w:tr>
      <w:tr w:rsidR="00C76715">
        <w:tc>
          <w:tcPr>
            <w:tcW w:w="1231" w:type="dxa"/>
          </w:tcPr>
          <w:p w:rsidR="00C76715" w:rsidRDefault="00944E09">
            <w:pPr>
              <w:widowControl w:val="0"/>
              <w:spacing w:before="120" w:after="0" w:line="240" w:lineRule="auto"/>
              <w:ind w:left="0" w:firstLine="0"/>
              <w:textAlignment w:val="baseline"/>
              <w:rPr>
                <w:rFonts w:eastAsia="Times New Roman"/>
                <w:color w:val="auto"/>
                <w:szCs w:val="20"/>
              </w:rPr>
            </w:pPr>
            <w:r>
              <w:rPr>
                <w:kern w:val="2"/>
              </w:rPr>
              <w:t>TO 3</w:t>
            </w:r>
          </w:p>
        </w:tc>
        <w:tc>
          <w:tcPr>
            <w:tcW w:w="2874" w:type="dxa"/>
          </w:tcPr>
          <w:p w:rsidR="00C76715" w:rsidRDefault="00944E09">
            <w:pPr>
              <w:widowControl w:val="0"/>
              <w:spacing w:before="120" w:after="0" w:line="240" w:lineRule="auto"/>
              <w:ind w:left="0" w:firstLine="0"/>
              <w:jc w:val="center"/>
              <w:textAlignment w:val="baseline"/>
              <w:rPr>
                <w:kern w:val="2"/>
              </w:rPr>
            </w:pPr>
            <w:r>
              <w:rPr>
                <w:kern w:val="2"/>
              </w:rPr>
              <w:t>/</w:t>
            </w:r>
          </w:p>
        </w:tc>
        <w:tc>
          <w:tcPr>
            <w:tcW w:w="5939" w:type="dxa"/>
          </w:tcPr>
          <w:p w:rsidR="00C76715" w:rsidRDefault="00944E09">
            <w:pPr>
              <w:widowControl w:val="0"/>
              <w:spacing w:before="120" w:after="0" w:line="240" w:lineRule="auto"/>
              <w:ind w:left="0" w:firstLine="0"/>
              <w:jc w:val="center"/>
              <w:textAlignment w:val="baseline"/>
              <w:rPr>
                <w:rFonts w:eastAsia="Times New Roman"/>
                <w:color w:val="auto"/>
                <w:szCs w:val="20"/>
              </w:rPr>
            </w:pPr>
            <w:r>
              <w:rPr>
                <w:kern w:val="2"/>
              </w:rPr>
              <w:t>3 mois</w:t>
            </w:r>
          </w:p>
        </w:tc>
      </w:tr>
    </w:tbl>
    <w:p w:rsidR="00C76715" w:rsidRDefault="00944E09">
      <w:pPr>
        <w:spacing w:before="120" w:after="0" w:line="240" w:lineRule="auto"/>
        <w:ind w:left="0" w:firstLine="0"/>
      </w:pPr>
      <w:r>
        <w:t xml:space="preserve">- période de suivi et de traitement de la GPA </w:t>
      </w:r>
      <w:r w:rsidR="00D176A8">
        <w:t xml:space="preserve">(garantie de parfait achèvement) </w:t>
      </w:r>
      <w:r>
        <w:t>travaux de douze (12) mois.</w:t>
      </w:r>
    </w:p>
    <w:p w:rsidR="00C76715" w:rsidRDefault="00944E09">
      <w:pPr>
        <w:spacing w:before="120" w:after="0" w:line="240" w:lineRule="auto"/>
        <w:ind w:left="0" w:firstLine="0"/>
      </w:pPr>
      <w:r>
        <w:t>Les deux lots sont exécutés simultanément.</w:t>
      </w:r>
    </w:p>
    <w:p w:rsidR="00C76715" w:rsidRDefault="00944E09">
      <w:pPr>
        <w:spacing w:before="120" w:after="0" w:line="240" w:lineRule="auto"/>
        <w:ind w:left="0" w:firstLine="0"/>
      </w:pPr>
      <w:r>
        <w:t>Les travaux peuvent être exécutés avec recouvrement des tranches (exécution simultanée des tranches). La numérotation des tranches ne préjuge pas de leur ordre d’affermissement.</w:t>
      </w:r>
    </w:p>
    <w:p w:rsidR="00C76715" w:rsidRDefault="00944E09">
      <w:pPr>
        <w:spacing w:before="120" w:after="120" w:line="240" w:lineRule="auto"/>
        <w:ind w:left="0" w:firstLine="0"/>
      </w:pPr>
      <w:r>
        <w:t xml:space="preserve">Le marché s’exécute jusqu’au parfait achèvement des travaux, à compter de la date fixée dans l’ordre </w:t>
      </w:r>
      <w:r w:rsidR="004D3BA2">
        <w:t xml:space="preserve">ou dans les ordres </w:t>
      </w:r>
      <w:r>
        <w:t>de service de démarrage des travaux.</w:t>
      </w:r>
    </w:p>
    <w:p w:rsidR="00C76715" w:rsidRDefault="00944E09">
      <w:pPr>
        <w:spacing w:before="120" w:after="120" w:line="240" w:lineRule="auto"/>
        <w:ind w:left="0" w:firstLine="0"/>
      </w:pPr>
      <w:r>
        <w:t>Le marché ne fait l'objet d'aucune reconduction.</w:t>
      </w:r>
    </w:p>
    <w:p w:rsidR="00C76715" w:rsidRDefault="00944E09">
      <w:pPr>
        <w:pStyle w:val="Titre2"/>
        <w:ind w:left="567" w:hanging="567"/>
      </w:pPr>
      <w:bookmarkStart w:id="8" w:name="_Toc234336700"/>
      <w:r>
        <w:t>Lieu d’exécution</w:t>
      </w:r>
      <w:bookmarkEnd w:id="8"/>
    </w:p>
    <w:p w:rsidR="00C76715" w:rsidRDefault="00944E09">
      <w:pPr>
        <w:widowControl w:val="0"/>
        <w:spacing w:before="120" w:after="0" w:line="240" w:lineRule="auto"/>
        <w:ind w:left="0" w:firstLine="0"/>
        <w:rPr>
          <w:rFonts w:eastAsia="Times New Roman"/>
        </w:rPr>
      </w:pPr>
      <w:r>
        <w:rPr>
          <w:rFonts w:eastAsia="Times New Roman"/>
        </w:rPr>
        <w:t xml:space="preserve">Les travaux seront exécutés sur le Dépôt Essences Passif (DE/P) de Donges – le parc C est implanté sur la commune de La Chapelle Launay, dans le département de la Loire Atlantique (44). </w:t>
      </w:r>
    </w:p>
    <w:p w:rsidR="00C76715" w:rsidRDefault="00944E09">
      <w:pPr>
        <w:pStyle w:val="Titre2"/>
        <w:ind w:left="567" w:hanging="567"/>
      </w:pPr>
      <w:bookmarkStart w:id="9" w:name="_Toc234336701"/>
      <w:r>
        <w:t>Variantes</w:t>
      </w:r>
      <w:bookmarkEnd w:id="9"/>
    </w:p>
    <w:p w:rsidR="00C76715" w:rsidRDefault="00944E09">
      <w:pPr>
        <w:spacing w:before="120" w:after="0" w:line="240" w:lineRule="auto"/>
        <w:ind w:left="0" w:firstLine="0"/>
      </w:pPr>
      <w:r>
        <w:t>Les variantes ne sont pas autorisées.</w:t>
      </w:r>
    </w:p>
    <w:p w:rsidR="00C76715" w:rsidRDefault="00944E09">
      <w:pPr>
        <w:pStyle w:val="Titre2"/>
        <w:ind w:left="567" w:hanging="567"/>
      </w:pPr>
      <w:bookmarkStart w:id="10" w:name="_Toc234336702"/>
      <w:r>
        <w:t>Prestations supplémentaires éventuelles</w:t>
      </w:r>
      <w:bookmarkEnd w:id="10"/>
    </w:p>
    <w:p w:rsidR="00C76715" w:rsidRDefault="00944E09">
      <w:pPr>
        <w:spacing w:before="120" w:after="0" w:line="240" w:lineRule="auto"/>
        <w:ind w:left="0" w:firstLine="0"/>
      </w:pPr>
      <w:r>
        <w:t>Aucune prestation supplémentaire éventuelle n'est prévue.</w:t>
      </w:r>
    </w:p>
    <w:p w:rsidR="00C76715" w:rsidRDefault="00944E09">
      <w:pPr>
        <w:pStyle w:val="Titre2"/>
        <w:ind w:left="567" w:hanging="567"/>
      </w:pPr>
      <w:bookmarkStart w:id="11" w:name="_Toc234336703"/>
      <w:r>
        <w:t>Considérations sociales</w:t>
      </w:r>
      <w:bookmarkEnd w:id="11"/>
    </w:p>
    <w:p w:rsidR="00C76715" w:rsidRDefault="00944E09">
      <w:pPr>
        <w:spacing w:before="120" w:after="0" w:line="240" w:lineRule="auto"/>
        <w:ind w:left="0" w:firstLine="0"/>
      </w:pPr>
      <w:r>
        <w:t xml:space="preserve">En application des dispositions de l’article </w:t>
      </w:r>
      <w:hyperlink r:id="rId15">
        <w:r>
          <w:rPr>
            <w:rFonts w:eastAsiaTheme="minorHAnsi"/>
            <w:color w:val="0563C1" w:themeColor="hyperlink"/>
            <w:u w:val="single"/>
            <w:lang w:eastAsia="en-US"/>
          </w:rPr>
          <w:t>L.2312-1</w:t>
        </w:r>
      </w:hyperlink>
      <w:r>
        <w:t xml:space="preserve"> renvoyant aux articles </w:t>
      </w:r>
      <w:hyperlink r:id="rId16">
        <w:r>
          <w:rPr>
            <w:rStyle w:val="Lienhypertexte"/>
          </w:rPr>
          <w:t>L.2112-2</w:t>
        </w:r>
      </w:hyperlink>
      <w:r>
        <w:t xml:space="preserve"> et </w:t>
      </w:r>
      <w:hyperlink r:id="rId17">
        <w:r>
          <w:rPr>
            <w:rStyle w:val="Lienhypertexte"/>
          </w:rPr>
          <w:t>L.2112-3</w:t>
        </w:r>
      </w:hyperlink>
      <w:r>
        <w:t xml:space="preserve"> issus du Code de la commande publique, </w:t>
      </w:r>
      <w:r>
        <w:rPr>
          <w:b/>
        </w:rPr>
        <w:t>le présent marché comporte une clause sociale visant à lutter contre le chômage</w:t>
      </w:r>
      <w:r>
        <w:t xml:space="preserve"> et à promouvoir l’emploi de personnes rencontrant des difficultés sociales et professionnelles particulières d’insertion.</w:t>
      </w:r>
    </w:p>
    <w:p w:rsidR="00C76715" w:rsidRDefault="00944E09">
      <w:pPr>
        <w:spacing w:before="120" w:after="0" w:line="240" w:lineRule="auto"/>
        <w:ind w:left="0" w:firstLine="0"/>
      </w:pPr>
      <w:r>
        <w:t xml:space="preserve">Le titulaire du marché s’engage à réaliser cette action d’insertion selon les modalités décrites dans le Cahier des clauses administratives particulières (CCAP) lié à ce règlement de la consultation. Cette démarche d’insertion est exigée. Un volume minimum de </w:t>
      </w:r>
      <w:r>
        <w:rPr>
          <w:b/>
        </w:rPr>
        <w:t>cent vingt-cinq (125) heures pour le lot 1</w:t>
      </w:r>
      <w:r>
        <w:t xml:space="preserve"> d’un dispositif d’insertion est à réaliser au titre du marché, </w:t>
      </w:r>
      <w:r>
        <w:rPr>
          <w:b/>
        </w:rPr>
        <w:t>le lot 2 n’est pas concerné</w:t>
      </w:r>
      <w:r>
        <w:t>.</w:t>
      </w:r>
    </w:p>
    <w:p w:rsidR="00C76715" w:rsidRDefault="00944E09">
      <w:pPr>
        <w:pStyle w:val="Titre2"/>
        <w:ind w:left="567" w:hanging="567"/>
      </w:pPr>
      <w:bookmarkStart w:id="12" w:name="_Toc234336704"/>
      <w:r>
        <w:t>Considérations environnementales</w:t>
      </w:r>
      <w:bookmarkEnd w:id="12"/>
    </w:p>
    <w:p w:rsidR="00C76715" w:rsidRDefault="00944E09">
      <w:pPr>
        <w:spacing w:before="120" w:after="0" w:line="240" w:lineRule="auto"/>
        <w:ind w:left="0" w:firstLine="0"/>
      </w:pPr>
      <w:r>
        <w:t xml:space="preserve">Une clause environnementale est prévue pour ce marché. Le titulaire est tenu au respect du Schéma d'Organisation de la Gestion et de l'Élimination des Déchets de chantier (SOGED) remis avec son offre et relatif à la gestion des déchets de chantier. </w:t>
      </w:r>
    </w:p>
    <w:p w:rsidR="00C76715" w:rsidRDefault="00944E09">
      <w:pPr>
        <w:spacing w:before="120" w:after="0" w:line="240" w:lineRule="auto"/>
        <w:ind w:left="0" w:firstLine="0"/>
      </w:pPr>
      <w:r>
        <w:t xml:space="preserve">Le titulaire s'engage notamment sur : </w:t>
      </w:r>
    </w:p>
    <w:p w:rsidR="00C76715" w:rsidRDefault="00944E09">
      <w:pPr>
        <w:pStyle w:val="Paragraphedeliste"/>
        <w:numPr>
          <w:ilvl w:val="0"/>
          <w:numId w:val="14"/>
        </w:numPr>
        <w:spacing w:before="120" w:after="0" w:line="240" w:lineRule="auto"/>
        <w:ind w:left="714" w:hanging="357"/>
        <w:contextualSpacing w:val="0"/>
      </w:pPr>
      <w:r>
        <w:rPr>
          <w:rFonts w:ascii="Arial" w:hAnsi="Arial" w:cs="Arial"/>
        </w:rPr>
        <w:t>le pré-tri sur le site des différents déchets de chantier ;</w:t>
      </w:r>
    </w:p>
    <w:p w:rsidR="00C76715" w:rsidRDefault="00944E09">
      <w:pPr>
        <w:pStyle w:val="Paragraphedeliste"/>
        <w:numPr>
          <w:ilvl w:val="0"/>
          <w:numId w:val="14"/>
        </w:numPr>
        <w:spacing w:before="120" w:after="0" w:line="240" w:lineRule="auto"/>
        <w:ind w:left="714" w:hanging="357"/>
        <w:contextualSpacing w:val="0"/>
      </w:pPr>
      <w:r>
        <w:rPr>
          <w:rFonts w:ascii="Arial" w:hAnsi="Arial" w:cs="Arial"/>
        </w:rPr>
        <w:t>les méthodes qui seront employées pour ne pas mélanger les différents déchets (bennes, stockage, localisation sur le chantier des installations, ...) ;</w:t>
      </w:r>
    </w:p>
    <w:p w:rsidR="00C76715" w:rsidRDefault="00944E09">
      <w:pPr>
        <w:pStyle w:val="Paragraphedeliste"/>
        <w:numPr>
          <w:ilvl w:val="0"/>
          <w:numId w:val="14"/>
        </w:numPr>
        <w:spacing w:before="120" w:after="0" w:line="240" w:lineRule="auto"/>
        <w:ind w:left="714" w:hanging="357"/>
        <w:contextualSpacing w:val="0"/>
      </w:pPr>
      <w:r>
        <w:rPr>
          <w:rFonts w:ascii="Arial" w:hAnsi="Arial" w:cs="Arial"/>
        </w:rPr>
        <w:lastRenderedPageBreak/>
        <w:t>les centres de stockage et/ou centres de regroupement et/ou unités de recyclage vers lesquels sont acheminés les différents déchets, en fonction de leur typologie et en accord avec le gestionnaire devant les recevoir ;</w:t>
      </w:r>
    </w:p>
    <w:p w:rsidR="00C76715" w:rsidRDefault="00944E09">
      <w:pPr>
        <w:pStyle w:val="Paragraphedeliste"/>
        <w:numPr>
          <w:ilvl w:val="0"/>
          <w:numId w:val="14"/>
        </w:numPr>
        <w:spacing w:before="120" w:after="0" w:line="240" w:lineRule="auto"/>
        <w:ind w:left="714" w:hanging="357"/>
        <w:contextualSpacing w:val="0"/>
      </w:pPr>
      <w:r>
        <w:rPr>
          <w:rFonts w:ascii="Arial" w:hAnsi="Arial" w:cs="Arial"/>
        </w:rPr>
        <w:t>l'information, en phase travaux, du maître d'œuvre quant à la nature et à la constitution des déchets et aux conditions de dépôt envisagés sur le chantier ;</w:t>
      </w:r>
    </w:p>
    <w:p w:rsidR="00C76715" w:rsidRDefault="00944E09">
      <w:pPr>
        <w:pStyle w:val="Paragraphedeliste"/>
        <w:numPr>
          <w:ilvl w:val="0"/>
          <w:numId w:val="14"/>
        </w:numPr>
        <w:spacing w:before="120" w:after="0" w:line="240" w:lineRule="auto"/>
        <w:ind w:left="714" w:hanging="357"/>
        <w:contextualSpacing w:val="0"/>
      </w:pPr>
      <w:r>
        <w:rPr>
          <w:rFonts w:ascii="Arial" w:hAnsi="Arial" w:cs="Arial"/>
        </w:rPr>
        <w:t>les modalités retenues pour assurer le contrôle, le suivi et la traçabilité ;</w:t>
      </w:r>
    </w:p>
    <w:p w:rsidR="00C76715" w:rsidRDefault="00944E09">
      <w:pPr>
        <w:pStyle w:val="Paragraphedeliste"/>
        <w:numPr>
          <w:ilvl w:val="0"/>
          <w:numId w:val="14"/>
        </w:numPr>
        <w:spacing w:before="120" w:after="0" w:line="240" w:lineRule="auto"/>
        <w:ind w:left="714" w:hanging="357"/>
        <w:contextualSpacing w:val="0"/>
      </w:pPr>
      <w:r>
        <w:rPr>
          <w:rFonts w:ascii="Arial" w:hAnsi="Arial" w:cs="Arial"/>
        </w:rPr>
        <w:t>les moyens matériels et humains mis en œuvre pour assurer ces différents éléments de gestion des déchets.</w:t>
      </w:r>
    </w:p>
    <w:p w:rsidR="00C76715" w:rsidRDefault="00944E09">
      <w:pPr>
        <w:spacing w:before="120" w:after="0" w:line="240" w:lineRule="auto"/>
        <w:ind w:left="0" w:firstLine="0"/>
      </w:pPr>
      <w:r>
        <w:t>En ce sens, au sein du critère technique, le sous-critère « Mesures prévues pour le respect du développement durable », donne une appréciation sur le SOGED fourni par l’entreprise.</w:t>
      </w:r>
    </w:p>
    <w:p w:rsidR="00C76715" w:rsidRDefault="00944E09">
      <w:pPr>
        <w:pStyle w:val="Titre2"/>
        <w:ind w:left="567" w:hanging="567"/>
      </w:pPr>
      <w:bookmarkStart w:id="13" w:name="_Toc234336705"/>
      <w:r>
        <w:t>Traitement de données à caractère personnel</w:t>
      </w:r>
      <w:bookmarkEnd w:id="13"/>
    </w:p>
    <w:p w:rsidR="00C76715" w:rsidRDefault="00944E09">
      <w:pPr>
        <w:spacing w:before="120" w:after="0" w:line="240" w:lineRule="auto"/>
        <w:ind w:left="0" w:firstLine="0"/>
      </w:pPr>
      <w:r>
        <w:rPr>
          <w:b/>
        </w:rPr>
        <w:t>Protection des données à caractère personnel des candidats à la présente procédure :</w:t>
      </w:r>
      <w:r>
        <w:t xml:space="preserve"> </w:t>
      </w:r>
    </w:p>
    <w:p w:rsidR="00C76715" w:rsidRDefault="00944E09">
      <w:pPr>
        <w:spacing w:before="120" w:after="0" w:line="240" w:lineRule="auto"/>
        <w:ind w:left="0" w:firstLine="0"/>
      </w:pPr>
      <w:r>
        <w:t xml:space="preserve">En application de l'article 13 du </w:t>
      </w:r>
      <w:hyperlink r:id="rId18">
        <w:r>
          <w:rPr>
            <w:rFonts w:eastAsiaTheme="minorHAnsi" w:cstheme="minorBidi"/>
            <w:color w:val="0563C1" w:themeColor="hyperlink"/>
            <w:u w:val="single"/>
            <w:lang w:eastAsia="en-US"/>
          </w:rPr>
          <w:t>règlement (UE) 2016/679</w:t>
        </w:r>
      </w:hyperlink>
      <w:r>
        <w:rPr>
          <w:rFonts w:eastAsiaTheme="minorHAnsi" w:cstheme="minorBidi"/>
          <w:color w:val="0563C1" w:themeColor="hyperlink"/>
          <w:u w:val="single"/>
          <w:lang w:eastAsia="en-US"/>
        </w:rPr>
        <w:t xml:space="preserve"> </w:t>
      </w:r>
      <w:r>
        <w:t xml:space="preserve">du Parlement européen et du Conseil du </w:t>
      </w:r>
      <w:r>
        <w:br/>
        <w:t>27 avril 2016 relatif à la protection des personnes physiques à l'égard du traitement des données à caractère personnel et à la libre circulation de ces données (RGPD), les candidats sont informés que des données à caractère personnel (notamment nom, prénom, adresse mail, données de  connexion) collectées dans le cadre de la présente procédure de passation et dans le cadre de l'exécution du présent marché public sont susceptibles de faire l'objet de traitements.</w:t>
      </w:r>
    </w:p>
    <w:p w:rsidR="00C76715" w:rsidRDefault="00944E09">
      <w:pPr>
        <w:spacing w:before="120" w:after="0" w:line="240" w:lineRule="auto"/>
        <w:ind w:left="0" w:firstLine="0"/>
      </w:pPr>
      <w:r>
        <w:rPr>
          <w:b/>
        </w:rPr>
        <w:t>Identité et coordonnées du responsable de traitement et de son représentant :</w:t>
      </w:r>
      <w:r>
        <w:t xml:space="preserve"> </w:t>
      </w:r>
    </w:p>
    <w:p w:rsidR="00C76715" w:rsidRDefault="00944E09">
      <w:pPr>
        <w:spacing w:before="120" w:after="0" w:line="240" w:lineRule="auto"/>
        <w:ind w:left="0" w:firstLine="0"/>
      </w:pPr>
      <w:r>
        <w:t>Le Ministère de l'Économie, des Finances et de la Souveraineté industrielle et numérique</w:t>
      </w:r>
    </w:p>
    <w:p w:rsidR="00C76715" w:rsidRDefault="00944E09">
      <w:pPr>
        <w:spacing w:before="60" w:after="0" w:line="240" w:lineRule="auto"/>
        <w:ind w:left="0" w:firstLine="0"/>
      </w:pPr>
      <w:r>
        <w:t>59, boulevard Vincent Auriol</w:t>
      </w:r>
    </w:p>
    <w:p w:rsidR="00C76715" w:rsidRDefault="00944E09">
      <w:pPr>
        <w:spacing w:before="120" w:after="0" w:line="240" w:lineRule="auto"/>
        <w:ind w:left="0" w:firstLine="0"/>
      </w:pPr>
      <w:r>
        <w:t>75703 Paris Cedex 13</w:t>
      </w:r>
    </w:p>
    <w:p w:rsidR="00C76715" w:rsidRDefault="00944E09">
      <w:pPr>
        <w:spacing w:before="120" w:after="0" w:line="240" w:lineRule="auto"/>
        <w:ind w:left="0" w:firstLine="0"/>
      </w:pPr>
      <w:r>
        <w:t>Représentée par le Directeur des achats de l'État.</w:t>
      </w:r>
    </w:p>
    <w:p w:rsidR="00C76715" w:rsidRDefault="00944E09">
      <w:pPr>
        <w:spacing w:before="120" w:after="0" w:line="240" w:lineRule="auto"/>
        <w:ind w:left="0" w:firstLine="0"/>
        <w:rPr>
          <w:b/>
        </w:rPr>
      </w:pPr>
      <w:r>
        <w:rPr>
          <w:b/>
        </w:rPr>
        <w:t xml:space="preserve">Responsable de Traitement Opérationnel (RTO) : </w:t>
      </w:r>
    </w:p>
    <w:p w:rsidR="00C76715" w:rsidRDefault="00944E09">
      <w:pPr>
        <w:spacing w:before="120" w:after="0" w:line="240" w:lineRule="auto"/>
        <w:ind w:left="0" w:firstLine="0"/>
      </w:pPr>
      <w:r>
        <w:t>La Direction des achats de l'État, Représentée par le Directeur des achats de l'État.</w:t>
      </w:r>
    </w:p>
    <w:p w:rsidR="00C76715" w:rsidRDefault="00944E09">
      <w:pPr>
        <w:spacing w:before="120" w:after="0" w:line="240" w:lineRule="auto"/>
        <w:ind w:left="0" w:firstLine="0"/>
        <w:rPr>
          <w:b/>
        </w:rPr>
      </w:pPr>
      <w:r>
        <w:rPr>
          <w:b/>
        </w:rPr>
        <w:t xml:space="preserve">Coordonnées du délégué à la protection des données : </w:t>
      </w:r>
    </w:p>
    <w:p w:rsidR="00C76715" w:rsidRDefault="00E417DC">
      <w:pPr>
        <w:spacing w:after="128" w:line="266" w:lineRule="auto"/>
        <w:ind w:left="72" w:right="188"/>
      </w:pPr>
      <w:hyperlink r:id="rId19">
        <w:r w:rsidR="00944E09">
          <w:rPr>
            <w:rStyle w:val="Lienhypertexte"/>
            <w:u w:val="none" w:color="0563C1"/>
          </w:rPr>
          <w:t>le-delegue-a-la-protection-des-donnees-personnelles@finances.gouv.fr</w:t>
        </w:r>
      </w:hyperlink>
      <w:r w:rsidR="00944E09">
        <w:t>.</w:t>
      </w:r>
    </w:p>
    <w:p w:rsidR="00C76715" w:rsidRDefault="00944E09">
      <w:pPr>
        <w:spacing w:before="120" w:after="0" w:line="240" w:lineRule="auto"/>
        <w:ind w:left="0" w:firstLine="0"/>
      </w:pPr>
      <w:r>
        <w:rPr>
          <w:b/>
        </w:rPr>
        <w:t xml:space="preserve">Base juridique du traitement </w:t>
      </w:r>
      <w:r>
        <w:t xml:space="preserve">: c) et e) de </w:t>
      </w:r>
      <w:hyperlink r:id="rId20" w:anchor="Article6" w:history="1">
        <w:r>
          <w:rPr>
            <w:rFonts w:eastAsiaTheme="minorHAnsi" w:cstheme="minorBidi"/>
            <w:color w:val="0563C1" w:themeColor="hyperlink"/>
            <w:u w:val="single"/>
            <w:lang w:eastAsia="en-US"/>
          </w:rPr>
          <w:t>l'article 6.1 du RGPD</w:t>
        </w:r>
      </w:hyperlink>
      <w:r>
        <w:t>.</w:t>
      </w:r>
    </w:p>
    <w:p w:rsidR="00C76715" w:rsidRDefault="00944E09">
      <w:pPr>
        <w:spacing w:before="120" w:after="0" w:line="240" w:lineRule="auto"/>
        <w:ind w:left="0" w:firstLine="0"/>
      </w:pPr>
      <w:r>
        <w:rPr>
          <w:b/>
        </w:rPr>
        <w:t>Finalité du ou des traitements : suivi de la présente procédure de passation, attribution du marché</w:t>
      </w:r>
      <w:r>
        <w:t xml:space="preserve"> public et obligations légales en matière de durée d'utilité administrative (DUA) applicable aux marchés publics. </w:t>
      </w:r>
      <w:r>
        <w:rPr>
          <w:b/>
        </w:rPr>
        <w:t xml:space="preserve">Destinataires ou catégorie de destinataires </w:t>
      </w:r>
      <w:r>
        <w:t>: les données à caractère personnel concernées sont destinées exclusivement aux agents de l'Acheteur, des ministères et des opérateurs de l'État, en charge de la passation puis de l'exécution du présent contrat.</w:t>
      </w:r>
    </w:p>
    <w:p w:rsidR="00C76715" w:rsidRDefault="00944E09">
      <w:pPr>
        <w:spacing w:before="120" w:after="0" w:line="240" w:lineRule="auto"/>
        <w:ind w:left="0" w:firstLine="0"/>
      </w:pPr>
      <w:r>
        <w:rPr>
          <w:b/>
        </w:rPr>
        <w:t xml:space="preserve">Durée de conservation </w:t>
      </w:r>
      <w:r>
        <w:t>: ces données sont conservées pendant toute la durée de passation et d'exécution du contrat ainsi que durant la DUA applicable au contrat.</w:t>
      </w:r>
    </w:p>
    <w:p w:rsidR="00C76715" w:rsidRDefault="00944E09">
      <w:pPr>
        <w:spacing w:before="120" w:after="0" w:line="240" w:lineRule="auto"/>
        <w:ind w:left="0" w:firstLine="0"/>
      </w:pPr>
      <w:r>
        <w:t>Conformément aux dispositions des articles 15 à 21 du RGPD, les personnes dont les données à caractère personnel sont collectées disposent notamment d'un droit d'accès, de rectification et d'effacement à ces informations qui les concernent. Elles peuvent également s'opposer au traitement de ces données. L'exercice des droits d'information et d'accès aux données à caractère personnel peut être effectué auprès du délégué à la protection des données. La personne dont les données à caractère personnel sont collectées dans le cadre de la présente procédure dispose d'un droit de réclamation auprès de la CNIL.</w:t>
      </w:r>
    </w:p>
    <w:p w:rsidR="00C76715" w:rsidRDefault="00944E09">
      <w:pPr>
        <w:pStyle w:val="Titre1"/>
        <w:spacing w:before="360"/>
        <w:ind w:left="567" w:hanging="567"/>
        <w:rPr>
          <w:u w:val="single"/>
        </w:rPr>
      </w:pPr>
      <w:r>
        <w:tab/>
      </w:r>
      <w:bookmarkStart w:id="14" w:name="_Toc234336706"/>
      <w:r>
        <w:rPr>
          <w:u w:val="single"/>
        </w:rPr>
        <w:t>INFORMATION AUX CANDIDATS</w:t>
      </w:r>
      <w:bookmarkEnd w:id="14"/>
    </w:p>
    <w:p w:rsidR="00C76715" w:rsidRDefault="00944E09">
      <w:pPr>
        <w:pStyle w:val="Titre2"/>
        <w:ind w:left="567" w:hanging="567"/>
      </w:pPr>
      <w:bookmarkStart w:id="15" w:name="_Toc234336707"/>
      <w:r>
        <w:t>Contenu des documents de la consultation</w:t>
      </w:r>
      <w:bookmarkEnd w:id="15"/>
    </w:p>
    <w:p w:rsidR="00C76715" w:rsidRDefault="00944E09">
      <w:pPr>
        <w:numPr>
          <w:ilvl w:val="0"/>
          <w:numId w:val="2"/>
        </w:numPr>
        <w:spacing w:before="120" w:after="120" w:line="259" w:lineRule="auto"/>
        <w:ind w:hanging="360"/>
        <w:rPr>
          <w:rFonts w:eastAsia="Calibri"/>
          <w:color w:val="auto"/>
          <w:lang w:eastAsia="en-US"/>
        </w:rPr>
      </w:pPr>
      <w:r>
        <w:rPr>
          <w:rFonts w:eastAsia="Calibri"/>
          <w:color w:val="auto"/>
          <w:lang w:eastAsia="en-US"/>
        </w:rPr>
        <w:t>le présent règlement de la consultation (RC) et ses annexes :</w:t>
      </w:r>
    </w:p>
    <w:tbl>
      <w:tblPr>
        <w:tblStyle w:val="Grilledutableau1"/>
        <w:tblW w:w="9674" w:type="dxa"/>
        <w:tblInd w:w="87" w:type="dxa"/>
        <w:tblLayout w:type="fixed"/>
        <w:tblLook w:val="04A0" w:firstRow="1" w:lastRow="0" w:firstColumn="1" w:lastColumn="0" w:noHBand="0" w:noVBand="1"/>
      </w:tblPr>
      <w:tblGrid>
        <w:gridCol w:w="1450"/>
        <w:gridCol w:w="8224"/>
      </w:tblGrid>
      <w:tr w:rsidR="00C76715">
        <w:tc>
          <w:tcPr>
            <w:tcW w:w="1450" w:type="dxa"/>
            <w:shd w:val="clear" w:color="auto" w:fill="DEEAF6" w:themeFill="accent1" w:themeFillTint="33"/>
          </w:tcPr>
          <w:p w:rsidR="00C76715" w:rsidRDefault="00944E09">
            <w:pPr>
              <w:widowControl w:val="0"/>
              <w:spacing w:after="240" w:line="259" w:lineRule="auto"/>
              <w:ind w:left="0" w:firstLine="0"/>
              <w:contextualSpacing/>
              <w:textAlignment w:val="baseline"/>
              <w:rPr>
                <w:rFonts w:eastAsia="Calibri"/>
                <w:b/>
                <w:color w:val="auto"/>
                <w:lang w:eastAsia="en-US"/>
              </w:rPr>
            </w:pPr>
            <w:r>
              <w:rPr>
                <w:rFonts w:eastAsia="Calibri"/>
                <w:b/>
                <w:color w:val="auto"/>
                <w:kern w:val="2"/>
                <w:lang w:eastAsia="en-US"/>
              </w:rPr>
              <w:lastRenderedPageBreak/>
              <w:t>N° annexe</w:t>
            </w:r>
          </w:p>
        </w:tc>
        <w:tc>
          <w:tcPr>
            <w:tcW w:w="8223" w:type="dxa"/>
            <w:shd w:val="clear" w:color="auto" w:fill="DEEAF6" w:themeFill="accent1" w:themeFillTint="33"/>
          </w:tcPr>
          <w:p w:rsidR="00C76715" w:rsidRDefault="00944E09">
            <w:pPr>
              <w:widowControl w:val="0"/>
              <w:spacing w:after="240" w:line="259" w:lineRule="auto"/>
              <w:ind w:left="0" w:firstLine="0"/>
              <w:contextualSpacing/>
              <w:textAlignment w:val="baseline"/>
              <w:rPr>
                <w:rFonts w:eastAsia="Calibri"/>
                <w:b/>
                <w:color w:val="auto"/>
                <w:lang w:eastAsia="en-US"/>
              </w:rPr>
            </w:pPr>
            <w:r>
              <w:rPr>
                <w:rFonts w:eastAsia="Calibri"/>
                <w:b/>
                <w:color w:val="auto"/>
                <w:kern w:val="2"/>
                <w:lang w:eastAsia="en-US"/>
              </w:rPr>
              <w:t>Objet</w:t>
            </w:r>
          </w:p>
        </w:tc>
      </w:tr>
      <w:tr w:rsidR="00C76715">
        <w:tc>
          <w:tcPr>
            <w:tcW w:w="1450" w:type="dxa"/>
            <w:shd w:val="clear" w:color="auto" w:fill="auto"/>
          </w:tcPr>
          <w:p w:rsidR="00C76715" w:rsidRDefault="00944E09">
            <w:pPr>
              <w:widowControl w:val="0"/>
              <w:spacing w:after="240" w:line="259" w:lineRule="auto"/>
              <w:ind w:left="0" w:firstLine="0"/>
              <w:contextualSpacing/>
              <w:jc w:val="center"/>
              <w:textAlignment w:val="baseline"/>
              <w:rPr>
                <w:rFonts w:eastAsia="Calibri"/>
                <w:color w:val="auto"/>
                <w:lang w:eastAsia="en-US"/>
              </w:rPr>
            </w:pPr>
            <w:r>
              <w:rPr>
                <w:rFonts w:eastAsia="Calibri"/>
                <w:color w:val="auto"/>
                <w:kern w:val="2"/>
                <w:lang w:eastAsia="en-US"/>
              </w:rPr>
              <w:t>1</w:t>
            </w:r>
          </w:p>
        </w:tc>
        <w:tc>
          <w:tcPr>
            <w:tcW w:w="8223" w:type="dxa"/>
            <w:shd w:val="clear" w:color="auto" w:fill="auto"/>
          </w:tcPr>
          <w:p w:rsidR="00C76715" w:rsidRDefault="00944E09">
            <w:pPr>
              <w:widowControl w:val="0"/>
              <w:spacing w:after="240" w:line="259" w:lineRule="auto"/>
              <w:ind w:left="0" w:firstLine="0"/>
              <w:contextualSpacing/>
              <w:jc w:val="left"/>
              <w:textAlignment w:val="baseline"/>
              <w:rPr>
                <w:rFonts w:eastAsia="Calibri"/>
                <w:color w:val="auto"/>
                <w:lang w:eastAsia="en-US"/>
              </w:rPr>
            </w:pPr>
            <w:r>
              <w:rPr>
                <w:rFonts w:eastAsia="Calibri"/>
                <w:color w:val="auto"/>
                <w:kern w:val="2"/>
                <w:lang w:eastAsia="en-US"/>
              </w:rPr>
              <w:t>DC1</w:t>
            </w:r>
          </w:p>
        </w:tc>
      </w:tr>
      <w:tr w:rsidR="00C76715">
        <w:tc>
          <w:tcPr>
            <w:tcW w:w="1450" w:type="dxa"/>
            <w:shd w:val="clear" w:color="auto" w:fill="auto"/>
          </w:tcPr>
          <w:p w:rsidR="00C76715" w:rsidRDefault="00944E09">
            <w:pPr>
              <w:widowControl w:val="0"/>
              <w:spacing w:after="240" w:line="259" w:lineRule="auto"/>
              <w:ind w:left="0" w:firstLine="0"/>
              <w:contextualSpacing/>
              <w:jc w:val="center"/>
              <w:textAlignment w:val="baseline"/>
              <w:rPr>
                <w:rFonts w:eastAsia="Calibri"/>
                <w:color w:val="auto"/>
                <w:lang w:eastAsia="en-US"/>
              </w:rPr>
            </w:pPr>
            <w:r>
              <w:rPr>
                <w:rFonts w:eastAsia="Calibri"/>
                <w:color w:val="auto"/>
                <w:kern w:val="2"/>
                <w:lang w:eastAsia="en-US"/>
              </w:rPr>
              <w:t>2</w:t>
            </w:r>
          </w:p>
        </w:tc>
        <w:tc>
          <w:tcPr>
            <w:tcW w:w="8223" w:type="dxa"/>
            <w:shd w:val="clear" w:color="auto" w:fill="auto"/>
          </w:tcPr>
          <w:p w:rsidR="00C76715" w:rsidRDefault="00944E09">
            <w:pPr>
              <w:widowControl w:val="0"/>
              <w:spacing w:after="240" w:line="259" w:lineRule="auto"/>
              <w:ind w:left="0" w:firstLine="0"/>
              <w:contextualSpacing/>
              <w:jc w:val="left"/>
              <w:textAlignment w:val="baseline"/>
              <w:rPr>
                <w:rFonts w:eastAsia="Calibri"/>
                <w:color w:val="auto"/>
                <w:lang w:eastAsia="en-US"/>
              </w:rPr>
            </w:pPr>
            <w:r>
              <w:rPr>
                <w:rFonts w:eastAsia="Calibri"/>
                <w:color w:val="auto"/>
                <w:kern w:val="2"/>
                <w:lang w:eastAsia="en-US"/>
              </w:rPr>
              <w:t>DC2</w:t>
            </w:r>
          </w:p>
        </w:tc>
      </w:tr>
      <w:tr w:rsidR="00C76715">
        <w:tc>
          <w:tcPr>
            <w:tcW w:w="1450" w:type="dxa"/>
            <w:shd w:val="clear" w:color="auto" w:fill="auto"/>
          </w:tcPr>
          <w:p w:rsidR="00C76715" w:rsidRDefault="00944E09">
            <w:pPr>
              <w:widowControl w:val="0"/>
              <w:spacing w:after="240" w:line="259" w:lineRule="auto"/>
              <w:ind w:left="0" w:firstLine="0"/>
              <w:contextualSpacing/>
              <w:jc w:val="center"/>
              <w:textAlignment w:val="baseline"/>
              <w:rPr>
                <w:rFonts w:eastAsia="Calibri"/>
                <w:color w:val="auto"/>
                <w:lang w:eastAsia="en-US"/>
              </w:rPr>
            </w:pPr>
            <w:r>
              <w:rPr>
                <w:rFonts w:eastAsia="Calibri"/>
                <w:color w:val="auto"/>
                <w:kern w:val="2"/>
                <w:lang w:eastAsia="en-US"/>
              </w:rPr>
              <w:t>3</w:t>
            </w:r>
          </w:p>
        </w:tc>
        <w:tc>
          <w:tcPr>
            <w:tcW w:w="8223" w:type="dxa"/>
            <w:shd w:val="clear" w:color="auto" w:fill="auto"/>
          </w:tcPr>
          <w:p w:rsidR="00C76715" w:rsidRDefault="00944E09">
            <w:pPr>
              <w:widowControl w:val="0"/>
              <w:spacing w:after="240" w:line="259" w:lineRule="auto"/>
              <w:ind w:left="0" w:firstLine="0"/>
              <w:contextualSpacing/>
              <w:jc w:val="left"/>
              <w:textAlignment w:val="baseline"/>
              <w:rPr>
                <w:rFonts w:eastAsia="Calibri"/>
                <w:color w:val="auto"/>
                <w:lang w:eastAsia="en-US"/>
              </w:rPr>
            </w:pPr>
            <w:r>
              <w:rPr>
                <w:rFonts w:eastAsia="Calibri"/>
                <w:color w:val="auto"/>
                <w:kern w:val="2"/>
                <w:lang w:eastAsia="en-US"/>
              </w:rPr>
              <w:t>Cadre de réponse – indicateurs financiers</w:t>
            </w:r>
          </w:p>
        </w:tc>
      </w:tr>
      <w:tr w:rsidR="00C76715">
        <w:tc>
          <w:tcPr>
            <w:tcW w:w="1450" w:type="dxa"/>
            <w:shd w:val="clear" w:color="auto" w:fill="auto"/>
          </w:tcPr>
          <w:p w:rsidR="00C76715" w:rsidRDefault="00944E09">
            <w:pPr>
              <w:widowControl w:val="0"/>
              <w:spacing w:after="240" w:line="259" w:lineRule="auto"/>
              <w:ind w:left="0" w:firstLine="0"/>
              <w:contextualSpacing/>
              <w:jc w:val="center"/>
              <w:textAlignment w:val="baseline"/>
              <w:rPr>
                <w:rFonts w:eastAsia="Calibri"/>
                <w:color w:val="auto"/>
                <w:lang w:eastAsia="en-US"/>
              </w:rPr>
            </w:pPr>
            <w:r>
              <w:rPr>
                <w:rFonts w:eastAsia="Calibri"/>
                <w:color w:val="auto"/>
                <w:kern w:val="2"/>
                <w:lang w:eastAsia="en-US"/>
              </w:rPr>
              <w:t>4</w:t>
            </w:r>
          </w:p>
        </w:tc>
        <w:tc>
          <w:tcPr>
            <w:tcW w:w="8223" w:type="dxa"/>
            <w:shd w:val="clear" w:color="auto" w:fill="auto"/>
          </w:tcPr>
          <w:p w:rsidR="00C76715" w:rsidRDefault="00944E09">
            <w:pPr>
              <w:widowControl w:val="0"/>
              <w:spacing w:after="240" w:line="259" w:lineRule="auto"/>
              <w:ind w:left="0" w:firstLine="0"/>
              <w:contextualSpacing/>
              <w:jc w:val="left"/>
              <w:textAlignment w:val="baseline"/>
              <w:rPr>
                <w:rFonts w:eastAsia="Calibri"/>
                <w:color w:val="auto"/>
                <w:lang w:eastAsia="en-US"/>
              </w:rPr>
            </w:pPr>
            <w:r>
              <w:rPr>
                <w:rFonts w:eastAsia="Calibri"/>
                <w:color w:val="auto"/>
                <w:kern w:val="2"/>
                <w:lang w:eastAsia="en-US"/>
              </w:rPr>
              <w:t>Courriels et Points de contact – Organisation des visites pour la phase offre</w:t>
            </w:r>
          </w:p>
        </w:tc>
      </w:tr>
      <w:tr w:rsidR="00C76715">
        <w:tc>
          <w:tcPr>
            <w:tcW w:w="1450" w:type="dxa"/>
            <w:shd w:val="clear" w:color="auto" w:fill="auto"/>
          </w:tcPr>
          <w:p w:rsidR="00C76715" w:rsidRDefault="00944E09">
            <w:pPr>
              <w:widowControl w:val="0"/>
              <w:spacing w:after="240" w:line="259" w:lineRule="auto"/>
              <w:ind w:left="0" w:firstLine="0"/>
              <w:contextualSpacing/>
              <w:jc w:val="center"/>
              <w:textAlignment w:val="baseline"/>
              <w:rPr>
                <w:rFonts w:eastAsia="Calibri"/>
                <w:color w:val="auto"/>
                <w:lang w:eastAsia="en-US"/>
              </w:rPr>
            </w:pPr>
            <w:r>
              <w:rPr>
                <w:rFonts w:eastAsia="Calibri"/>
                <w:color w:val="auto"/>
                <w:kern w:val="2"/>
                <w:lang w:eastAsia="en-US"/>
              </w:rPr>
              <w:t>5</w:t>
            </w:r>
          </w:p>
        </w:tc>
        <w:tc>
          <w:tcPr>
            <w:tcW w:w="8223" w:type="dxa"/>
            <w:shd w:val="clear" w:color="auto" w:fill="auto"/>
          </w:tcPr>
          <w:p w:rsidR="00C76715" w:rsidRDefault="00944E09">
            <w:pPr>
              <w:widowControl w:val="0"/>
              <w:spacing w:after="240" w:line="259" w:lineRule="auto"/>
              <w:ind w:left="0" w:firstLine="0"/>
              <w:contextualSpacing/>
              <w:jc w:val="left"/>
              <w:textAlignment w:val="baseline"/>
              <w:rPr>
                <w:rFonts w:eastAsia="Calibri"/>
                <w:color w:val="auto"/>
                <w:lang w:eastAsia="en-US"/>
              </w:rPr>
            </w:pPr>
            <w:r>
              <w:rPr>
                <w:rFonts w:eastAsia="Calibri"/>
                <w:color w:val="auto"/>
                <w:kern w:val="2"/>
                <w:lang w:eastAsia="en-US"/>
              </w:rPr>
              <w:t>Accord de confidentialité</w:t>
            </w:r>
          </w:p>
        </w:tc>
      </w:tr>
      <w:tr w:rsidR="00C76715">
        <w:tc>
          <w:tcPr>
            <w:tcW w:w="1450" w:type="dxa"/>
            <w:shd w:val="clear" w:color="auto" w:fill="auto"/>
          </w:tcPr>
          <w:p w:rsidR="00C76715" w:rsidRDefault="00944E09">
            <w:pPr>
              <w:widowControl w:val="0"/>
              <w:spacing w:after="240" w:line="259" w:lineRule="auto"/>
              <w:ind w:left="0" w:firstLine="0"/>
              <w:contextualSpacing/>
              <w:jc w:val="center"/>
              <w:textAlignment w:val="baseline"/>
              <w:rPr>
                <w:rFonts w:eastAsia="Calibri"/>
                <w:color w:val="auto"/>
                <w:lang w:eastAsia="en-US"/>
              </w:rPr>
            </w:pPr>
            <w:r>
              <w:rPr>
                <w:rFonts w:eastAsia="Calibri"/>
                <w:color w:val="auto"/>
                <w:kern w:val="2"/>
                <w:lang w:eastAsia="en-US"/>
              </w:rPr>
              <w:t>6</w:t>
            </w:r>
          </w:p>
        </w:tc>
        <w:tc>
          <w:tcPr>
            <w:tcW w:w="8223" w:type="dxa"/>
            <w:shd w:val="clear" w:color="auto" w:fill="auto"/>
          </w:tcPr>
          <w:p w:rsidR="00C76715" w:rsidRDefault="00944E09">
            <w:pPr>
              <w:widowControl w:val="0"/>
              <w:spacing w:after="240" w:line="259" w:lineRule="auto"/>
              <w:ind w:left="0" w:firstLine="0"/>
              <w:contextualSpacing/>
              <w:jc w:val="left"/>
              <w:textAlignment w:val="baseline"/>
              <w:rPr>
                <w:rFonts w:eastAsia="Calibri"/>
                <w:color w:val="auto"/>
                <w:lang w:eastAsia="en-US"/>
              </w:rPr>
            </w:pPr>
            <w:r>
              <w:rPr>
                <w:rFonts w:eastAsia="Calibri"/>
                <w:color w:val="auto"/>
                <w:kern w:val="2"/>
                <w:lang w:eastAsia="en-US"/>
              </w:rPr>
              <w:t>Cadre de réponse –  Procédure électronique</w:t>
            </w:r>
          </w:p>
        </w:tc>
      </w:tr>
      <w:tr w:rsidR="00C76715">
        <w:tc>
          <w:tcPr>
            <w:tcW w:w="1450" w:type="dxa"/>
          </w:tcPr>
          <w:p w:rsidR="00C76715" w:rsidRDefault="00944E09">
            <w:pPr>
              <w:widowControl w:val="0"/>
              <w:spacing w:after="240" w:line="259" w:lineRule="auto"/>
              <w:ind w:left="0" w:firstLine="0"/>
              <w:contextualSpacing/>
              <w:jc w:val="center"/>
              <w:textAlignment w:val="baseline"/>
              <w:rPr>
                <w:rFonts w:eastAsia="Calibri"/>
                <w:color w:val="auto"/>
                <w:lang w:eastAsia="en-US"/>
              </w:rPr>
            </w:pPr>
            <w:r>
              <w:rPr>
                <w:rFonts w:eastAsia="Calibri"/>
                <w:color w:val="auto"/>
                <w:kern w:val="2"/>
                <w:lang w:eastAsia="en-US"/>
              </w:rPr>
              <w:t>7</w:t>
            </w:r>
          </w:p>
        </w:tc>
        <w:tc>
          <w:tcPr>
            <w:tcW w:w="8223" w:type="dxa"/>
          </w:tcPr>
          <w:p w:rsidR="00C76715" w:rsidRDefault="00944E09">
            <w:pPr>
              <w:widowControl w:val="0"/>
              <w:spacing w:after="240" w:line="259" w:lineRule="auto"/>
              <w:ind w:left="0" w:firstLine="0"/>
              <w:contextualSpacing/>
              <w:textAlignment w:val="baseline"/>
              <w:rPr>
                <w:rFonts w:eastAsia="Calibri"/>
                <w:color w:val="auto"/>
                <w:lang w:eastAsia="en-US"/>
              </w:rPr>
            </w:pPr>
            <w:r>
              <w:rPr>
                <w:rFonts w:eastAsia="Calibri"/>
                <w:color w:val="auto"/>
                <w:kern w:val="2"/>
                <w:lang w:eastAsia="en-US"/>
              </w:rPr>
              <w:t>renseignements complémentaires : Congés - PME,</w:t>
            </w:r>
          </w:p>
        </w:tc>
      </w:tr>
      <w:tr w:rsidR="00C76715">
        <w:tc>
          <w:tcPr>
            <w:tcW w:w="1450" w:type="dxa"/>
          </w:tcPr>
          <w:p w:rsidR="00C76715" w:rsidRDefault="00944E09">
            <w:pPr>
              <w:widowControl w:val="0"/>
              <w:spacing w:after="240" w:line="259" w:lineRule="auto"/>
              <w:ind w:left="0" w:firstLine="0"/>
              <w:contextualSpacing/>
              <w:jc w:val="center"/>
              <w:textAlignment w:val="baseline"/>
              <w:rPr>
                <w:rFonts w:eastAsia="Calibri"/>
                <w:color w:val="auto"/>
                <w:lang w:eastAsia="en-US"/>
              </w:rPr>
            </w:pPr>
            <w:r>
              <w:rPr>
                <w:rFonts w:eastAsia="Calibri"/>
                <w:color w:val="auto"/>
                <w:kern w:val="2"/>
                <w:lang w:eastAsia="en-US"/>
              </w:rPr>
              <w:t>8</w:t>
            </w:r>
          </w:p>
        </w:tc>
        <w:tc>
          <w:tcPr>
            <w:tcW w:w="8223" w:type="dxa"/>
          </w:tcPr>
          <w:p w:rsidR="00C76715" w:rsidRDefault="00944E09">
            <w:pPr>
              <w:widowControl w:val="0"/>
              <w:spacing w:after="240" w:line="259" w:lineRule="auto"/>
              <w:ind w:left="0" w:firstLine="0"/>
              <w:contextualSpacing/>
              <w:textAlignment w:val="baseline"/>
              <w:rPr>
                <w:rFonts w:eastAsia="Calibri"/>
                <w:color w:val="auto"/>
                <w:lang w:eastAsia="en-US"/>
              </w:rPr>
            </w:pPr>
            <w:r>
              <w:rPr>
                <w:rFonts w:eastAsia="Calibri"/>
                <w:color w:val="auto"/>
                <w:kern w:val="2"/>
                <w:lang w:eastAsia="en-US"/>
              </w:rPr>
              <w:t>Présentation des références – Soudure - Electricité</w:t>
            </w:r>
          </w:p>
        </w:tc>
      </w:tr>
      <w:tr w:rsidR="00C76715">
        <w:tc>
          <w:tcPr>
            <w:tcW w:w="1450" w:type="dxa"/>
          </w:tcPr>
          <w:p w:rsidR="00C76715" w:rsidRDefault="00944E09">
            <w:pPr>
              <w:widowControl w:val="0"/>
              <w:spacing w:after="240" w:line="259" w:lineRule="auto"/>
              <w:ind w:left="0" w:firstLine="0"/>
              <w:contextualSpacing/>
              <w:jc w:val="center"/>
              <w:textAlignment w:val="baseline"/>
              <w:rPr>
                <w:rFonts w:eastAsia="Calibri"/>
                <w:color w:val="auto"/>
                <w:lang w:eastAsia="en-US"/>
              </w:rPr>
            </w:pPr>
            <w:r>
              <w:rPr>
                <w:rFonts w:eastAsia="Calibri"/>
                <w:color w:val="auto"/>
                <w:kern w:val="2"/>
                <w:lang w:eastAsia="en-US"/>
              </w:rPr>
              <w:t>9</w:t>
            </w:r>
          </w:p>
        </w:tc>
        <w:tc>
          <w:tcPr>
            <w:tcW w:w="8223" w:type="dxa"/>
          </w:tcPr>
          <w:p w:rsidR="00C76715" w:rsidRDefault="00944E09">
            <w:pPr>
              <w:widowControl w:val="0"/>
              <w:spacing w:after="240" w:line="259" w:lineRule="auto"/>
              <w:ind w:left="0" w:firstLine="0"/>
              <w:contextualSpacing/>
              <w:textAlignment w:val="baseline"/>
              <w:rPr>
                <w:rFonts w:eastAsia="Calibri"/>
                <w:color w:val="auto"/>
                <w:lang w:eastAsia="en-US"/>
              </w:rPr>
            </w:pPr>
            <w:r>
              <w:rPr>
                <w:rFonts w:eastAsia="Calibri"/>
                <w:color w:val="auto"/>
                <w:kern w:val="2"/>
                <w:lang w:eastAsia="en-US"/>
              </w:rPr>
              <w:t>Présentation du projet</w:t>
            </w:r>
          </w:p>
        </w:tc>
      </w:tr>
      <w:tr w:rsidR="00C76715">
        <w:tc>
          <w:tcPr>
            <w:tcW w:w="1450" w:type="dxa"/>
          </w:tcPr>
          <w:p w:rsidR="00C76715" w:rsidRDefault="00944E09">
            <w:pPr>
              <w:widowControl w:val="0"/>
              <w:spacing w:after="240" w:line="259" w:lineRule="auto"/>
              <w:ind w:left="0" w:firstLine="0"/>
              <w:contextualSpacing/>
              <w:jc w:val="center"/>
              <w:textAlignment w:val="baseline"/>
              <w:rPr>
                <w:rFonts w:eastAsia="Calibri"/>
                <w:color w:val="auto"/>
                <w:lang w:eastAsia="en-US"/>
              </w:rPr>
            </w:pPr>
            <w:r>
              <w:rPr>
                <w:rFonts w:eastAsia="Calibri"/>
                <w:color w:val="auto"/>
                <w:kern w:val="2"/>
                <w:lang w:eastAsia="en-US"/>
              </w:rPr>
              <w:t>10</w:t>
            </w:r>
          </w:p>
        </w:tc>
        <w:tc>
          <w:tcPr>
            <w:tcW w:w="8223" w:type="dxa"/>
          </w:tcPr>
          <w:p w:rsidR="00C76715" w:rsidRDefault="00944E09">
            <w:pPr>
              <w:widowControl w:val="0"/>
              <w:spacing w:after="240" w:line="259" w:lineRule="auto"/>
              <w:ind w:left="0" w:firstLine="0"/>
              <w:contextualSpacing/>
              <w:textAlignment w:val="baseline"/>
              <w:rPr>
                <w:rFonts w:eastAsia="Calibri"/>
                <w:color w:val="auto"/>
                <w:lang w:eastAsia="en-US"/>
              </w:rPr>
            </w:pPr>
            <w:r>
              <w:rPr>
                <w:rFonts w:eastAsia="Calibri"/>
                <w:color w:val="auto"/>
                <w:kern w:val="2"/>
                <w:lang w:eastAsia="en-US"/>
              </w:rPr>
              <w:t>Présentation DUME</w:t>
            </w:r>
          </w:p>
        </w:tc>
      </w:tr>
    </w:tbl>
    <w:p w:rsidR="00C76715" w:rsidRDefault="00944E09">
      <w:pPr>
        <w:pStyle w:val="Titre2"/>
        <w:ind w:left="567" w:hanging="567"/>
      </w:pPr>
      <w:bookmarkStart w:id="16" w:name="_Toc234336708"/>
      <w:r>
        <w:t>Modalités de retrait et de consultation des documents</w:t>
      </w:r>
      <w:bookmarkEnd w:id="16"/>
    </w:p>
    <w:p w:rsidR="00C76715" w:rsidRDefault="00944E09">
      <w:pPr>
        <w:spacing w:before="60" w:after="0" w:line="240" w:lineRule="auto"/>
        <w:ind w:left="0" w:firstLine="0"/>
      </w:pPr>
      <w:r>
        <w:t xml:space="preserve">Les documents de la consultation sont accessibles uniquement par voie électronique, sur le site de la PLACE à l’adresse suivante : </w:t>
      </w:r>
      <w:hyperlink r:id="rId21">
        <w:r>
          <w:rPr>
            <w:color w:val="0563C1"/>
            <w:u w:val="single" w:color="0563C1"/>
          </w:rPr>
          <w:t>https://www.marches</w:t>
        </w:r>
      </w:hyperlink>
      <w:hyperlink r:id="rId22">
        <w:r>
          <w:rPr>
            <w:color w:val="0563C1"/>
            <w:u w:val="single" w:color="0563C1"/>
          </w:rPr>
          <w:t>-</w:t>
        </w:r>
      </w:hyperlink>
      <w:hyperlink r:id="rId23">
        <w:r>
          <w:rPr>
            <w:color w:val="0563C1"/>
            <w:u w:val="single" w:color="0563C1"/>
          </w:rPr>
          <w:t>publics.gouv.fr</w:t>
        </w:r>
      </w:hyperlink>
    </w:p>
    <w:p w:rsidR="00C76715" w:rsidRDefault="00944E09">
      <w:pPr>
        <w:spacing w:before="120" w:after="0" w:line="240" w:lineRule="auto"/>
        <w:ind w:left="0" w:firstLine="0"/>
      </w:pPr>
      <w:r>
        <w:t>Référence du dossier de la consultation sur PLACE</w:t>
      </w:r>
      <w:r>
        <w:rPr>
          <w:b/>
        </w:rPr>
        <w:t xml:space="preserve"> : DAF_2026_000407.</w:t>
      </w:r>
    </w:p>
    <w:p w:rsidR="00C76715" w:rsidRDefault="00944E09">
      <w:pPr>
        <w:spacing w:before="120" w:after="0" w:line="240" w:lineRule="auto"/>
        <w:ind w:left="0" w:firstLine="0"/>
      </w:pPr>
      <w:r>
        <w:t>Lors du retrait, les soumissionnaires veilleront à s'identifier et à renseigner leur adresse courriel afin d'être avertis des mises à jour du dossier.</w:t>
      </w:r>
    </w:p>
    <w:p w:rsidR="00C76715" w:rsidRDefault="00944E09">
      <w:pPr>
        <w:spacing w:before="120" w:after="0" w:line="240" w:lineRule="auto"/>
        <w:ind w:left="0" w:firstLine="0"/>
      </w:pPr>
      <w:r>
        <w:t xml:space="preserve">Pour être informé des échanges avec le pouvoir adjudicateur, l’opérateur économique doit vérifier que l’adresse des échanges sur le site de la PLACE </w:t>
      </w:r>
      <w:r>
        <w:rPr>
          <w:color w:val="0563C1"/>
          <w:u w:val="single" w:color="0563C1"/>
        </w:rPr>
        <w:t>nepasrepondre@marches-publics.gouv.fr</w:t>
      </w:r>
      <w:r>
        <w:t xml:space="preserve"> est accessible et que les mails envoyés par cette adresse ne figurent pas dans ses courriers indésirables.</w:t>
      </w:r>
    </w:p>
    <w:p w:rsidR="00C76715" w:rsidRDefault="00944E09">
      <w:pPr>
        <w:pStyle w:val="Titre2"/>
        <w:ind w:left="567" w:hanging="567"/>
      </w:pPr>
      <w:bookmarkStart w:id="17" w:name="_Toc234336709"/>
      <w:r>
        <w:t>Demandes de renseignements complémentaires et questions</w:t>
      </w:r>
      <w:bookmarkEnd w:id="17"/>
    </w:p>
    <w:p w:rsidR="00C76715" w:rsidRDefault="00944E09">
      <w:pPr>
        <w:spacing w:before="120" w:after="0" w:line="240" w:lineRule="auto"/>
        <w:ind w:left="0" w:firstLine="0"/>
      </w:pPr>
      <w:r>
        <w:t xml:space="preserve">Pendant la phase de consultation, les soumissionnaires peuvent faire parvenir leurs questions et les demandes de renseignements complémentaires sur le site de la PLACE : </w:t>
      </w:r>
      <w:hyperlink r:id="rId24">
        <w:r>
          <w:rPr>
            <w:color w:val="0563C1"/>
            <w:u w:val="single" w:color="0563C1"/>
          </w:rPr>
          <w:t>https://www.marches</w:t>
        </w:r>
      </w:hyperlink>
      <w:hyperlink r:id="rId25">
        <w:r>
          <w:rPr>
            <w:color w:val="0563C1"/>
            <w:u w:val="single" w:color="0563C1"/>
          </w:rPr>
          <w:t>-</w:t>
        </w:r>
      </w:hyperlink>
      <w:hyperlink r:id="rId26">
        <w:r>
          <w:rPr>
            <w:color w:val="0563C1"/>
            <w:u w:val="single" w:color="0563C1"/>
          </w:rPr>
          <w:t>publics.gouv.fr</w:t>
        </w:r>
      </w:hyperlink>
      <w:hyperlink r:id="rId27">
        <w:r>
          <w:t>.</w:t>
        </w:r>
      </w:hyperlink>
    </w:p>
    <w:p w:rsidR="00C76715" w:rsidRDefault="00944E09">
      <w:pPr>
        <w:spacing w:before="120" w:after="0" w:line="240" w:lineRule="auto"/>
        <w:ind w:left="0" w:firstLine="0"/>
      </w:pPr>
      <w:r>
        <w:t xml:space="preserve">En cas de demandes de renseignements complémentaires, le délai de réception des offres pourra être prolongé dans les conditions définies par l’article </w:t>
      </w:r>
      <w:hyperlink r:id="rId28">
        <w:r>
          <w:rPr>
            <w:rStyle w:val="Lienhypertexte"/>
          </w:rPr>
          <w:t>R.2351-4</w:t>
        </w:r>
      </w:hyperlink>
      <w:r>
        <w:t xml:space="preserve"> du Code de la commande publique.</w:t>
      </w:r>
    </w:p>
    <w:p w:rsidR="00C76715" w:rsidRDefault="00944E09">
      <w:pPr>
        <w:spacing w:before="120" w:after="0" w:line="240" w:lineRule="auto"/>
        <w:ind w:left="0" w:firstLine="0"/>
      </w:pPr>
      <w:r>
        <w:t>Par l’application de la disposition précitée, est considérée comme une demande réalisée en temps utile, toute question transmise, au pouvoir adjudicateur, au plus tard huit (8) jours ouvrés avant la date limite de remise des offres. Passé ce délai, la date limite de réception des plis relatifs aux offres pourra ne pas être prolongée et les réponses aux questions pourront ne pas être apportées aux opérateurs économiques.</w:t>
      </w:r>
    </w:p>
    <w:p w:rsidR="00C76715" w:rsidRDefault="00944E09">
      <w:pPr>
        <w:pStyle w:val="Titre2"/>
        <w:ind w:left="567" w:hanging="567"/>
      </w:pPr>
      <w:bookmarkStart w:id="18" w:name="_Toc234336710"/>
      <w:r>
        <w:t>Modification des documents de la consultation</w:t>
      </w:r>
      <w:bookmarkEnd w:id="18"/>
    </w:p>
    <w:p w:rsidR="00C76715" w:rsidRDefault="00944E09">
      <w:pPr>
        <w:spacing w:before="120" w:after="0" w:line="240" w:lineRule="auto"/>
        <w:ind w:left="0" w:firstLine="0"/>
      </w:pPr>
      <w:r>
        <w:t>En cas de modifications importantes des documents de la consultation, le délai de réception des offres est prolongé dans les conditions fixées par l’</w:t>
      </w:r>
      <w:hyperlink r:id="rId29">
        <w:r>
          <w:rPr>
            <w:rStyle w:val="Lienhypertexte"/>
          </w:rPr>
          <w:t>article R.2351-4</w:t>
        </w:r>
      </w:hyperlink>
      <w:r>
        <w:t xml:space="preserve"> du Code de la commande publique. Les modifications sont communiquées aux seuls opérateurs économiques dûment identifiés lors du retrait des documents de la consultation.</w:t>
      </w:r>
    </w:p>
    <w:p w:rsidR="00C76715" w:rsidRDefault="00944E09">
      <w:pPr>
        <w:pStyle w:val="Titre2"/>
        <w:ind w:left="567" w:hanging="567"/>
      </w:pPr>
      <w:bookmarkStart w:id="19" w:name="_Toc234336711"/>
      <w:r>
        <w:t>Visite sur site obligatoire avant la remise des offres</w:t>
      </w:r>
      <w:bookmarkEnd w:id="19"/>
    </w:p>
    <w:p w:rsidR="00C76715" w:rsidRDefault="00944E09">
      <w:r>
        <w:t>Au stade de la candidature, la visite n’est pas à effectuer.</w:t>
      </w:r>
    </w:p>
    <w:p w:rsidR="00C76715" w:rsidRDefault="00944E09">
      <w:r>
        <w:t>La visite sera requise lors de la phase « offre ».</w:t>
      </w:r>
    </w:p>
    <w:p w:rsidR="00C76715" w:rsidRDefault="00944E09">
      <w:pPr>
        <w:pStyle w:val="Titre2"/>
        <w:ind w:left="567" w:hanging="567"/>
      </w:pPr>
      <w:bookmarkStart w:id="20" w:name="_Toc234336712"/>
      <w:r>
        <w:t>Modalités de transmission des plis</w:t>
      </w:r>
      <w:bookmarkEnd w:id="20"/>
    </w:p>
    <w:p w:rsidR="00C76715" w:rsidRDefault="00944E09">
      <w:pPr>
        <w:pStyle w:val="Titre3"/>
        <w:spacing w:before="240" w:after="120" w:line="240" w:lineRule="auto"/>
        <w:ind w:left="567" w:hanging="567"/>
        <w:rPr>
          <w:i w:val="0"/>
        </w:rPr>
      </w:pPr>
      <w:r>
        <w:rPr>
          <w:i w:val="0"/>
        </w:rPr>
        <w:t>Date et heure de réception des plis</w:t>
      </w:r>
    </w:p>
    <w:p w:rsidR="00C76715" w:rsidRDefault="00944E09">
      <w:pPr>
        <w:spacing w:before="120" w:after="0" w:line="240" w:lineRule="auto"/>
        <w:ind w:left="0" w:firstLine="0"/>
      </w:pPr>
      <w:r>
        <w:t xml:space="preserve">Les plis devront être transmis au plus tard le </w:t>
      </w:r>
      <w:r>
        <w:rPr>
          <w:b/>
        </w:rPr>
        <w:t xml:space="preserve"> </w:t>
      </w:r>
      <w:r w:rsidR="008A76B8">
        <w:rPr>
          <w:b/>
        </w:rPr>
        <w:t>1</w:t>
      </w:r>
      <w:r w:rsidR="00BE2B92">
        <w:rPr>
          <w:b/>
        </w:rPr>
        <w:t>5</w:t>
      </w:r>
      <w:r>
        <w:rPr>
          <w:b/>
        </w:rPr>
        <w:t xml:space="preserve"> Septembre 2026 à 16h00, heure de Paris.</w:t>
      </w:r>
    </w:p>
    <w:p w:rsidR="00C76715" w:rsidRDefault="00944E09">
      <w:pPr>
        <w:spacing w:before="120" w:after="0" w:line="240" w:lineRule="auto"/>
        <w:ind w:left="0" w:firstLine="0"/>
      </w:pPr>
      <w:r>
        <w:t xml:space="preserve">Seuls peuvent être ouverts les plis qui ont été reçus au plus tard à la date et à l’heure limites </w:t>
      </w:r>
      <w:r>
        <w:lastRenderedPageBreak/>
        <w:t>mentionnées ci-dessus.</w:t>
      </w:r>
    </w:p>
    <w:p w:rsidR="00C76715" w:rsidRDefault="00944E09">
      <w:pPr>
        <w:spacing w:before="120" w:after="0" w:line="240" w:lineRule="auto"/>
        <w:ind w:left="0" w:firstLine="0"/>
      </w:pPr>
      <w:r>
        <w:t>Les plis qui sont reçus ou remis après ces dates et heures ne sont pas ouverts.</w:t>
      </w:r>
    </w:p>
    <w:p w:rsidR="00C76715" w:rsidRDefault="00944E09">
      <w:pPr>
        <w:spacing w:before="120" w:after="0" w:line="240" w:lineRule="auto"/>
        <w:ind w:left="0" w:firstLine="0"/>
      </w:pPr>
      <w:r>
        <w:t>Les plis et la « copie de sauvegarde » parvenus hors délai sont inscrits au registre des dépôts et sont rejetés.</w:t>
      </w:r>
    </w:p>
    <w:p w:rsidR="00C76715" w:rsidRDefault="00944E09">
      <w:pPr>
        <w:spacing w:before="120" w:after="0" w:line="240" w:lineRule="auto"/>
        <w:ind w:left="0" w:firstLine="0"/>
      </w:pPr>
      <w:r>
        <w:t xml:space="preserve">Pendant la phase de consultation, les soumissionnaires peuvent faire parvenir leurs questions et les demandes de renseignements complémentaires sur PLACE : </w:t>
      </w:r>
      <w:hyperlink r:id="rId30">
        <w:r>
          <w:rPr>
            <w:color w:val="0563C1"/>
            <w:u w:val="single" w:color="0563C1"/>
          </w:rPr>
          <w:t>https://www.marches</w:t>
        </w:r>
      </w:hyperlink>
      <w:hyperlink r:id="rId31">
        <w:r>
          <w:rPr>
            <w:color w:val="0563C1"/>
            <w:u w:val="single" w:color="0563C1"/>
          </w:rPr>
          <w:t>-</w:t>
        </w:r>
      </w:hyperlink>
      <w:hyperlink r:id="rId32">
        <w:r>
          <w:rPr>
            <w:color w:val="0563C1"/>
            <w:u w:val="single" w:color="0563C1"/>
          </w:rPr>
          <w:t>publics.gouv.fr</w:t>
        </w:r>
      </w:hyperlink>
      <w:hyperlink r:id="rId33">
        <w:r>
          <w:t>.</w:t>
        </w:r>
      </w:hyperlink>
    </w:p>
    <w:p w:rsidR="00C76715" w:rsidRDefault="00944E09">
      <w:pPr>
        <w:pStyle w:val="Titre3"/>
        <w:tabs>
          <w:tab w:val="center" w:pos="2819"/>
        </w:tabs>
        <w:spacing w:before="240" w:after="120" w:line="240" w:lineRule="auto"/>
        <w:ind w:left="567" w:hanging="567"/>
        <w:jc w:val="both"/>
        <w:rPr>
          <w:i w:val="0"/>
        </w:rPr>
      </w:pPr>
      <w:r>
        <w:rPr>
          <w:i w:val="0"/>
        </w:rPr>
        <w:t>Conditions de transmission des plis</w:t>
      </w:r>
    </w:p>
    <w:p w:rsidR="00C76715" w:rsidRDefault="00944E09">
      <w:pPr>
        <w:spacing w:before="120" w:after="0" w:line="240" w:lineRule="auto"/>
        <w:ind w:left="0" w:firstLine="0"/>
      </w:pPr>
      <w:r>
        <w:t>En application de l'</w:t>
      </w:r>
      <w:hyperlink r:id="rId34">
        <w:r>
          <w:rPr>
            <w:rStyle w:val="Lienhypertexte"/>
          </w:rPr>
          <w:t>article R.2351-6</w:t>
        </w:r>
      </w:hyperlink>
      <w:r>
        <w:t xml:space="preserve"> du Code de la commande publique, le soumissionnaire transmet son offre en une seule fois. En cas d'envois successifs, seul le dernier envoi réceptionné avant la date limite de remise des plis est admis.</w:t>
      </w:r>
    </w:p>
    <w:p w:rsidR="00C76715" w:rsidRDefault="00944E09">
      <w:pPr>
        <w:spacing w:before="120" w:after="0" w:line="240" w:lineRule="auto"/>
        <w:ind w:left="0" w:firstLine="0"/>
      </w:pPr>
      <w:r>
        <w:t>Chaque pli est considéré comme une offre. Dès lors, si le soumissionnaire est amené à compléter son offre avant la date limite de remise des plis, il doit procéder à un nouvel envoi intégral comprenant l'ensemble des pièces exigées aux titres de l'offre ou de candidature.</w:t>
      </w:r>
    </w:p>
    <w:p w:rsidR="00C76715" w:rsidRDefault="00944E09">
      <w:pPr>
        <w:spacing w:before="120" w:after="0" w:line="240" w:lineRule="auto"/>
        <w:ind w:left="0" w:firstLine="0"/>
      </w:pPr>
      <w:r>
        <w:t>Les plis antérieurs sont rejetés sans être examinés.</w:t>
      </w:r>
    </w:p>
    <w:p w:rsidR="00C76715" w:rsidRDefault="00944E09">
      <w:pPr>
        <w:spacing w:before="120" w:after="0" w:line="240" w:lineRule="auto"/>
        <w:ind w:left="0" w:firstLine="0"/>
      </w:pPr>
      <w:r>
        <w:t>Aucun envoi papier, par télécopie ou courriel n’est accepté.</w:t>
      </w:r>
    </w:p>
    <w:p w:rsidR="00C76715" w:rsidRDefault="00944E09">
      <w:pPr>
        <w:spacing w:before="120" w:after="0" w:line="240" w:lineRule="auto"/>
        <w:ind w:left="0" w:firstLine="0"/>
      </w:pPr>
      <w:r>
        <w:t xml:space="preserve">Le dépôt électronique des plis s'effectue exclusivement sur PLACE : </w:t>
      </w:r>
      <w:hyperlink r:id="rId35">
        <w:r>
          <w:rPr>
            <w:color w:val="0563C1"/>
            <w:u w:val="single" w:color="0563C1"/>
          </w:rPr>
          <w:t>https://www.marches</w:t>
        </w:r>
      </w:hyperlink>
      <w:hyperlink r:id="rId36">
        <w:r>
          <w:rPr>
            <w:color w:val="0563C1"/>
            <w:u w:val="single" w:color="0563C1"/>
          </w:rPr>
          <w:t>-</w:t>
        </w:r>
      </w:hyperlink>
      <w:hyperlink r:id="rId37">
        <w:r>
          <w:rPr>
            <w:color w:val="0563C1"/>
            <w:u w:val="single" w:color="0563C1"/>
          </w:rPr>
          <w:t>publics.gouv.fr</w:t>
        </w:r>
      </w:hyperlink>
      <w:hyperlink r:id="rId38">
        <w:r>
          <w:t>.</w:t>
        </w:r>
      </w:hyperlink>
    </w:p>
    <w:p w:rsidR="00C76715" w:rsidRDefault="00944E09">
      <w:pPr>
        <w:spacing w:before="120" w:after="0" w:line="240" w:lineRule="auto"/>
        <w:ind w:left="0" w:firstLine="0"/>
      </w:pPr>
      <w:r>
        <w:t xml:space="preserve">Les frais d'accès au réseau et de recours à la signature électronique sont à la charge de chaque soumissionnaire. Les candidats ou soumissionnaires trouveront dans la rubrique « aide » de PLACE plusieurs documents et informations : </w:t>
      </w:r>
    </w:p>
    <w:p w:rsidR="00C76715" w:rsidRDefault="00944E09">
      <w:pPr>
        <w:pStyle w:val="Standard"/>
        <w:numPr>
          <w:ilvl w:val="0"/>
          <w:numId w:val="2"/>
        </w:numPr>
        <w:spacing w:before="60"/>
        <w:ind w:left="284" w:hanging="284"/>
        <w:rPr>
          <w:rFonts w:cs="Arial"/>
          <w:sz w:val="22"/>
          <w:szCs w:val="22"/>
        </w:rPr>
      </w:pPr>
      <w:r>
        <w:rPr>
          <w:rFonts w:cs="Arial"/>
          <w:sz w:val="22"/>
          <w:szCs w:val="22"/>
        </w:rPr>
        <w:t>le guide utilisateur téléchargeable, précisant les conditions d'utilisations de la plate-forme des achats de l'État, notamment les prérequis techniques et certificats électroniques ;</w:t>
      </w:r>
    </w:p>
    <w:p w:rsidR="00C76715" w:rsidRDefault="00944E09">
      <w:pPr>
        <w:pStyle w:val="Standard"/>
        <w:numPr>
          <w:ilvl w:val="0"/>
          <w:numId w:val="2"/>
        </w:numPr>
        <w:spacing w:before="60"/>
        <w:ind w:left="284" w:hanging="284"/>
        <w:rPr>
          <w:rFonts w:cs="Arial"/>
          <w:sz w:val="22"/>
          <w:szCs w:val="22"/>
        </w:rPr>
      </w:pPr>
      <w:r>
        <w:rPr>
          <w:rFonts w:cs="Arial"/>
          <w:sz w:val="22"/>
          <w:szCs w:val="22"/>
        </w:rPr>
        <w:t>le mode opératoire DUME pour les opérateurs ;</w:t>
      </w:r>
    </w:p>
    <w:p w:rsidR="00C76715" w:rsidRDefault="00944E09">
      <w:pPr>
        <w:pStyle w:val="Standard"/>
        <w:numPr>
          <w:ilvl w:val="0"/>
          <w:numId w:val="2"/>
        </w:numPr>
        <w:spacing w:before="60"/>
        <w:ind w:left="284" w:hanging="284"/>
        <w:rPr>
          <w:rFonts w:cs="Arial"/>
          <w:sz w:val="22"/>
          <w:szCs w:val="22"/>
        </w:rPr>
      </w:pPr>
      <w:r>
        <w:rPr>
          <w:rFonts w:cs="Arial"/>
          <w:sz w:val="22"/>
          <w:szCs w:val="22"/>
        </w:rPr>
        <w:t>l’assistance téléphonique ;</w:t>
      </w:r>
    </w:p>
    <w:p w:rsidR="00C76715" w:rsidRDefault="00944E09">
      <w:pPr>
        <w:pStyle w:val="Standard"/>
        <w:numPr>
          <w:ilvl w:val="0"/>
          <w:numId w:val="2"/>
        </w:numPr>
        <w:spacing w:before="60"/>
        <w:ind w:left="284" w:hanging="284"/>
        <w:rPr>
          <w:rFonts w:cs="Arial"/>
          <w:sz w:val="22"/>
          <w:szCs w:val="22"/>
        </w:rPr>
      </w:pPr>
      <w:r>
        <w:rPr>
          <w:rFonts w:cs="Arial"/>
          <w:sz w:val="22"/>
          <w:szCs w:val="22"/>
        </w:rPr>
        <w:t>le module d'autoformation à destination des opérateurs ;</w:t>
      </w:r>
    </w:p>
    <w:p w:rsidR="00C76715" w:rsidRDefault="00944E09">
      <w:pPr>
        <w:pStyle w:val="Standard"/>
        <w:numPr>
          <w:ilvl w:val="0"/>
          <w:numId w:val="2"/>
        </w:numPr>
        <w:spacing w:before="60"/>
        <w:ind w:left="284" w:hanging="284"/>
        <w:rPr>
          <w:rFonts w:cs="Arial"/>
          <w:sz w:val="22"/>
          <w:szCs w:val="22"/>
        </w:rPr>
      </w:pPr>
      <w:r>
        <w:rPr>
          <w:rFonts w:cs="Arial"/>
          <w:sz w:val="22"/>
          <w:szCs w:val="22"/>
        </w:rPr>
        <w:t>la foire aux questions ;</w:t>
      </w:r>
    </w:p>
    <w:p w:rsidR="00C76715" w:rsidRDefault="00944E09">
      <w:pPr>
        <w:pStyle w:val="Standard"/>
        <w:numPr>
          <w:ilvl w:val="0"/>
          <w:numId w:val="2"/>
        </w:numPr>
        <w:spacing w:before="60"/>
        <w:ind w:left="284" w:hanging="284"/>
        <w:rPr>
          <w:rFonts w:cs="Arial"/>
          <w:sz w:val="22"/>
          <w:szCs w:val="22"/>
        </w:rPr>
      </w:pPr>
      <w:r>
        <w:rPr>
          <w:rFonts w:cs="Arial"/>
          <w:sz w:val="22"/>
          <w:szCs w:val="22"/>
        </w:rPr>
        <w:t>le lien vers des documents de référence ;</w:t>
      </w:r>
    </w:p>
    <w:p w:rsidR="00C76715" w:rsidRDefault="00944E09">
      <w:pPr>
        <w:pStyle w:val="Standard"/>
        <w:numPr>
          <w:ilvl w:val="0"/>
          <w:numId w:val="2"/>
        </w:numPr>
        <w:spacing w:before="60"/>
        <w:ind w:left="284" w:hanging="284"/>
        <w:rPr>
          <w:rFonts w:cs="Arial"/>
          <w:sz w:val="22"/>
          <w:szCs w:val="22"/>
        </w:rPr>
      </w:pPr>
      <w:r>
        <w:rPr>
          <w:rFonts w:cs="Arial"/>
          <w:sz w:val="22"/>
          <w:szCs w:val="22"/>
        </w:rPr>
        <w:t>des outils informatiques.</w:t>
      </w:r>
    </w:p>
    <w:p w:rsidR="00C76715" w:rsidRDefault="00944E09">
      <w:pPr>
        <w:spacing w:before="120" w:after="0" w:line="240" w:lineRule="auto"/>
        <w:ind w:left="0" w:firstLine="0"/>
      </w:pPr>
      <w:r>
        <w:t>Les candidats ou soumissionnaires sont invités à tester la configuration de leur poste de travail et répondre à une consultation test, afin de s'assurer du bon fonctionnement de l'environnement informatique.</w:t>
      </w:r>
    </w:p>
    <w:p w:rsidR="00C76715" w:rsidRDefault="00944E09">
      <w:pPr>
        <w:spacing w:before="120" w:after="0" w:line="240" w:lineRule="auto"/>
        <w:ind w:left="0" w:firstLine="0"/>
      </w:pPr>
      <w:r>
        <w:t>Ils doivent également prévoir le temps nécessaire pour que le dépôt soit effectif dans le délai fixé par l'acheteur, notamment lorsque les fichiers sont volumineux et/ou si le réseau à un faible débit. Attention, les plis dont le téléchargement a commencé avant la date et l'heure limite mais s'est achevé hors délai sont éliminés par l'acheteur.</w:t>
      </w:r>
    </w:p>
    <w:p w:rsidR="00C76715" w:rsidRDefault="00944E09">
      <w:pPr>
        <w:spacing w:before="120" w:after="0" w:line="240" w:lineRule="auto"/>
        <w:ind w:left="0" w:firstLine="0"/>
      </w:pPr>
      <w:r>
        <w:t>Par ailleurs, la plate-forme déconnecte automatiquement l'utilisateur en cas d'inactivité supérieure à trente minutes.</w:t>
      </w:r>
    </w:p>
    <w:p w:rsidR="00C76715" w:rsidRDefault="00944E09">
      <w:pPr>
        <w:spacing w:before="120" w:after="0" w:line="240" w:lineRule="auto"/>
        <w:ind w:left="0" w:firstLine="0"/>
      </w:pPr>
      <w:r>
        <w:t>Les candidats ou soumissionnaires ont la possibilité de poser des questions sur les documents de la consultation.</w:t>
      </w:r>
    </w:p>
    <w:p w:rsidR="00C76715" w:rsidRDefault="00944E09">
      <w:pPr>
        <w:spacing w:before="120" w:after="0" w:line="240" w:lineRule="auto"/>
        <w:ind w:left="0" w:firstLine="0"/>
      </w:pPr>
      <w:r>
        <w:t>Après le dépôt du pli sur la plate-forme, un message indique que l'opération de dépôt du pli a été réalisée avec succès, puis un accusé de réception est adressé au candidat/soumissionnaire par courrier électronique donnant à son dépôt une date et une heure certaines, la date et l'heure de fin de réception faisant référence.</w:t>
      </w:r>
    </w:p>
    <w:p w:rsidR="00C76715" w:rsidRDefault="00944E09">
      <w:pPr>
        <w:spacing w:before="120" w:after="0" w:line="240" w:lineRule="auto"/>
        <w:ind w:left="0" w:firstLine="0"/>
      </w:pPr>
      <w:r>
        <w:t>L'absence de message de confirmation de bonne réception ou d'accusé de réception électronique signifie que la réponse n'est pas parvenue à l'acheteur.</w:t>
      </w:r>
    </w:p>
    <w:p w:rsidR="00C76715" w:rsidRDefault="00944E09">
      <w:pPr>
        <w:spacing w:before="120" w:after="0" w:line="240" w:lineRule="auto"/>
        <w:ind w:left="0" w:firstLine="0"/>
      </w:pPr>
      <w:r>
        <w:t xml:space="preserve">L'opérateur économique doit s'assurer que les messages envoyés par la plate-forme PLACE notamment, </w:t>
      </w:r>
      <w:r>
        <w:rPr>
          <w:color w:val="0563C1"/>
          <w:u w:val="single" w:color="0563C1"/>
        </w:rPr>
        <w:t>nepasrepondre@marches-publics.gouv.fr</w:t>
      </w:r>
      <w:r>
        <w:t>, ne sont pas traités comme des courriels indésirables.</w:t>
      </w:r>
    </w:p>
    <w:p w:rsidR="00C76715" w:rsidRDefault="00944E09">
      <w:pPr>
        <w:spacing w:before="120" w:after="0" w:line="240" w:lineRule="auto"/>
        <w:ind w:left="0" w:firstLine="0"/>
      </w:pPr>
      <w:r>
        <w:rPr>
          <w:b/>
          <w:u w:val="single" w:color="000000"/>
        </w:rPr>
        <w:lastRenderedPageBreak/>
        <w:t>Présentation des dossiers et format des fichiers :</w:t>
      </w:r>
      <w:r>
        <w:rPr>
          <w:b/>
        </w:rPr>
        <w:t xml:space="preserve"> </w:t>
      </w:r>
      <w:r>
        <w:t>Les formats acceptés sont les suivants : .pdf, .doc, .xls, .ppt, .odt , .ods, .odp, ainsi que les formats images .jpg, .png et les documents au format .html.</w:t>
      </w:r>
    </w:p>
    <w:p w:rsidR="00C76715" w:rsidRDefault="00944E09">
      <w:pPr>
        <w:spacing w:before="120" w:after="0" w:line="240" w:lineRule="auto"/>
        <w:ind w:left="0" w:firstLine="0"/>
      </w:pPr>
      <w:r>
        <w:t xml:space="preserve">Le candidat ou soumissionnaire ne doit pas utiliser de code actif dans sa réponse, tels que : </w:t>
      </w:r>
    </w:p>
    <w:p w:rsidR="00C76715" w:rsidRDefault="00944E09">
      <w:pPr>
        <w:pStyle w:val="Standard"/>
        <w:numPr>
          <w:ilvl w:val="0"/>
          <w:numId w:val="2"/>
        </w:numPr>
        <w:spacing w:before="60"/>
        <w:ind w:left="284" w:hanging="284"/>
        <w:rPr>
          <w:rFonts w:cs="Arial"/>
          <w:sz w:val="22"/>
          <w:szCs w:val="22"/>
        </w:rPr>
      </w:pPr>
      <w:r>
        <w:rPr>
          <w:rFonts w:cs="Arial"/>
          <w:sz w:val="22"/>
          <w:szCs w:val="22"/>
        </w:rPr>
        <w:t>formats exécutables, notamment : .exe, .com, .scr ;</w:t>
      </w:r>
    </w:p>
    <w:p w:rsidR="00C76715" w:rsidRDefault="00944E09">
      <w:pPr>
        <w:pStyle w:val="Standard"/>
        <w:numPr>
          <w:ilvl w:val="0"/>
          <w:numId w:val="2"/>
        </w:numPr>
        <w:spacing w:before="60"/>
        <w:ind w:left="284" w:hanging="284"/>
        <w:rPr>
          <w:rFonts w:cs="Arial"/>
          <w:sz w:val="22"/>
          <w:szCs w:val="22"/>
        </w:rPr>
      </w:pPr>
      <w:r>
        <w:rPr>
          <w:rFonts w:cs="Arial"/>
          <w:sz w:val="22"/>
          <w:szCs w:val="22"/>
        </w:rPr>
        <w:t>Macros ;</w:t>
      </w:r>
    </w:p>
    <w:p w:rsidR="00C76715" w:rsidRDefault="00944E09">
      <w:pPr>
        <w:pStyle w:val="Standard"/>
        <w:numPr>
          <w:ilvl w:val="0"/>
          <w:numId w:val="2"/>
        </w:numPr>
        <w:spacing w:before="60"/>
        <w:ind w:left="284" w:hanging="284"/>
      </w:pPr>
      <w:r>
        <w:rPr>
          <w:rFonts w:cs="Arial"/>
          <w:sz w:val="22"/>
          <w:szCs w:val="22"/>
        </w:rPr>
        <w:t>ActiveX, Applets, scripts.</w:t>
      </w:r>
    </w:p>
    <w:p w:rsidR="00C76715" w:rsidRDefault="00C76715">
      <w:pPr>
        <w:pStyle w:val="Standard"/>
        <w:spacing w:before="60"/>
        <w:rPr>
          <w:rFonts w:cs="Arial"/>
          <w:sz w:val="22"/>
          <w:szCs w:val="22"/>
        </w:rPr>
      </w:pPr>
    </w:p>
    <w:p w:rsidR="00C76715" w:rsidRDefault="00944E09">
      <w:pPr>
        <w:pStyle w:val="Standard"/>
        <w:spacing w:before="60"/>
      </w:pPr>
      <w:r>
        <w:rPr>
          <w:rFonts w:cs="Arial"/>
          <w:sz w:val="22"/>
          <w:szCs w:val="22"/>
        </w:rPr>
        <w:t xml:space="preserve">La taille de chaque fichier déposé par les entreprises ne peut excéder </w:t>
      </w:r>
      <w:r>
        <w:rPr>
          <w:rFonts w:cs="Arial"/>
          <w:b/>
          <w:sz w:val="22"/>
          <w:szCs w:val="22"/>
        </w:rPr>
        <w:t>1 Go</w:t>
      </w:r>
      <w:r>
        <w:rPr>
          <w:rFonts w:cs="Arial"/>
          <w:sz w:val="22"/>
          <w:szCs w:val="22"/>
        </w:rPr>
        <w:t>.</w:t>
      </w:r>
    </w:p>
    <w:p w:rsidR="00C76715" w:rsidRDefault="00944E09">
      <w:pPr>
        <w:spacing w:before="120" w:after="0" w:line="240" w:lineRule="auto"/>
        <w:ind w:left="0" w:firstLine="0"/>
      </w:pPr>
      <w:r>
        <w:rPr>
          <w:b/>
          <w:u w:val="single" w:color="000000"/>
        </w:rPr>
        <w:t>Nommage des fichiers – dépôt du pli</w:t>
      </w:r>
      <w:r>
        <w:t xml:space="preserve"> : </w:t>
      </w:r>
    </w:p>
    <w:p w:rsidR="00C76715" w:rsidRDefault="00944E09">
      <w:pPr>
        <w:widowControl w:val="0"/>
        <w:spacing w:before="100" w:line="240" w:lineRule="auto"/>
        <w:ind w:left="0" w:firstLine="0"/>
        <w:textAlignment w:val="center"/>
        <w:rPr>
          <w:rFonts w:eastAsia="Andale Sans UI" w:cs="Tahoma"/>
          <w:b/>
          <w:kern w:val="2"/>
          <w:lang w:eastAsia="ja-JP" w:bidi="fa-IR"/>
        </w:rPr>
      </w:pPr>
      <w:r>
        <w:rPr>
          <w:rFonts w:eastAsia="Andale Sans UI" w:cs="Tahoma"/>
          <w:b/>
          <w:kern w:val="2"/>
          <w:lang w:eastAsia="ja-JP" w:bidi="fa-IR"/>
        </w:rPr>
        <w:t xml:space="preserve">Il est demandé aux candidats et/ou soumissionnaires de : </w:t>
      </w:r>
    </w:p>
    <w:p w:rsidR="00C76715" w:rsidRDefault="00944E09">
      <w:pPr>
        <w:pStyle w:val="Paragraphedeliste"/>
        <w:widowControl w:val="0"/>
        <w:numPr>
          <w:ilvl w:val="0"/>
          <w:numId w:val="8"/>
        </w:numPr>
        <w:tabs>
          <w:tab w:val="left" w:pos="0"/>
        </w:tabs>
        <w:spacing w:before="100" w:after="0" w:line="240" w:lineRule="auto"/>
        <w:ind w:left="284" w:hanging="284"/>
        <w:contextualSpacing w:val="0"/>
        <w:jc w:val="both"/>
        <w:textAlignment w:val="center"/>
        <w:rPr>
          <w:rFonts w:ascii="Arial" w:hAnsi="Arial" w:cs="Arial"/>
          <w:b/>
          <w:lang w:bidi="fa-IR"/>
        </w:rPr>
      </w:pPr>
      <w:r>
        <w:rPr>
          <w:rFonts w:ascii="Arial" w:hAnsi="Arial" w:cs="Arial"/>
          <w:b/>
          <w:lang w:bidi="fa-IR"/>
        </w:rPr>
        <w:t xml:space="preserve">préparer les fichiers à transmettre dans le pli en les nommant comme suit : </w:t>
      </w:r>
    </w:p>
    <w:p w:rsidR="00C76715" w:rsidRDefault="00944E09">
      <w:pPr>
        <w:spacing w:before="60" w:line="240" w:lineRule="auto"/>
        <w:ind w:left="709"/>
      </w:pPr>
      <w:r>
        <w:t>« 2026_SEO_DEP_Donges_NomDuCandidat_nom du document »</w:t>
      </w:r>
    </w:p>
    <w:p w:rsidR="00C76715" w:rsidRDefault="00944E09">
      <w:pPr>
        <w:spacing w:before="100" w:line="240" w:lineRule="auto"/>
        <w:ind w:left="284"/>
      </w:pPr>
      <w:r>
        <w:t xml:space="preserve">Exemples : </w:t>
      </w:r>
    </w:p>
    <w:p w:rsidR="00C76715" w:rsidRDefault="00944E09">
      <w:pPr>
        <w:spacing w:before="60" w:line="240" w:lineRule="auto"/>
        <w:ind w:left="709"/>
      </w:pPr>
      <w:r>
        <w:t xml:space="preserve">2026_ SEO_ DEP_Donges _ NomDuCandidat _DPGF ; </w:t>
      </w:r>
    </w:p>
    <w:p w:rsidR="00C76715" w:rsidRDefault="00944E09">
      <w:pPr>
        <w:spacing w:before="60" w:line="240" w:lineRule="auto"/>
        <w:ind w:left="709"/>
      </w:pPr>
      <w:r>
        <w:t>2026_ SEO_ DEP_Donges _ NomDuCandidat _Mémoire technique.</w:t>
      </w:r>
    </w:p>
    <w:p w:rsidR="00C76715" w:rsidRDefault="00944E09">
      <w:pPr>
        <w:pStyle w:val="Paragraphedeliste"/>
        <w:widowControl w:val="0"/>
        <w:numPr>
          <w:ilvl w:val="0"/>
          <w:numId w:val="8"/>
        </w:numPr>
        <w:tabs>
          <w:tab w:val="left" w:pos="0"/>
        </w:tabs>
        <w:spacing w:before="100" w:after="0" w:line="240" w:lineRule="auto"/>
        <w:ind w:left="284" w:hanging="284"/>
        <w:contextualSpacing w:val="0"/>
        <w:jc w:val="both"/>
        <w:textAlignment w:val="center"/>
        <w:rPr>
          <w:rFonts w:ascii="Arial" w:hAnsi="Arial" w:cs="Arial"/>
          <w:b/>
          <w:lang w:bidi="fa-IR"/>
        </w:rPr>
      </w:pPr>
      <w:r>
        <w:rPr>
          <w:rFonts w:ascii="Arial" w:hAnsi="Arial" w:cs="Arial"/>
          <w:b/>
          <w:lang w:bidi="fa-IR"/>
        </w:rPr>
        <w:t xml:space="preserve">regrouper l’ensemble des fichiers de sa candidature au sein d’un premier dossier à nommer : </w:t>
      </w:r>
    </w:p>
    <w:p w:rsidR="00C76715" w:rsidRDefault="00944E09">
      <w:pPr>
        <w:spacing w:before="100" w:after="0" w:line="240" w:lineRule="auto"/>
        <w:ind w:left="0"/>
      </w:pPr>
      <w:r>
        <w:t xml:space="preserve">            « </w:t>
      </w:r>
      <w:r>
        <w:rPr>
          <w:rFonts w:eastAsia="Calibri"/>
          <w:color w:val="auto"/>
          <w:kern w:val="2"/>
          <w:lang w:eastAsia="en-US"/>
        </w:rPr>
        <w:t>2026_SEO_</w:t>
      </w:r>
      <w:r>
        <w:t xml:space="preserve"> DEP_Donges</w:t>
      </w:r>
      <w:r>
        <w:rPr>
          <w:rFonts w:eastAsia="Calibri"/>
          <w:color w:val="auto"/>
          <w:kern w:val="2"/>
          <w:lang w:eastAsia="en-US"/>
        </w:rPr>
        <w:t xml:space="preserve"> _ NomDuCandidat _Candidature_ »</w:t>
      </w:r>
    </w:p>
    <w:p w:rsidR="00C76715" w:rsidRDefault="00944E09">
      <w:pPr>
        <w:pStyle w:val="Paragraphedeliste"/>
        <w:widowControl w:val="0"/>
        <w:numPr>
          <w:ilvl w:val="0"/>
          <w:numId w:val="8"/>
        </w:numPr>
        <w:tabs>
          <w:tab w:val="left" w:pos="0"/>
        </w:tabs>
        <w:spacing w:before="100" w:after="0" w:line="240" w:lineRule="auto"/>
        <w:ind w:left="284" w:hanging="284"/>
        <w:contextualSpacing w:val="0"/>
        <w:jc w:val="both"/>
        <w:textAlignment w:val="center"/>
        <w:rPr>
          <w:rFonts w:ascii="Arial" w:hAnsi="Arial" w:cs="Arial"/>
          <w:b/>
        </w:rPr>
      </w:pPr>
      <w:r>
        <w:rPr>
          <w:rFonts w:ascii="Arial" w:hAnsi="Arial" w:cs="Arial"/>
          <w:b/>
        </w:rPr>
        <w:t>regrouper les fichiers de son offre dans un second dossier à nommer :</w:t>
      </w:r>
    </w:p>
    <w:p w:rsidR="00C76715" w:rsidRDefault="00944E09">
      <w:pPr>
        <w:pStyle w:val="Paragraphedeliste"/>
        <w:widowControl w:val="0"/>
        <w:tabs>
          <w:tab w:val="left" w:pos="0"/>
        </w:tabs>
        <w:spacing w:before="100" w:after="0" w:line="240" w:lineRule="auto"/>
        <w:ind w:left="709"/>
        <w:contextualSpacing w:val="0"/>
        <w:jc w:val="both"/>
        <w:textAlignment w:val="center"/>
        <w:rPr>
          <w:rFonts w:ascii="Arial" w:hAnsi="Arial" w:cs="Arial"/>
        </w:rPr>
      </w:pPr>
      <w:r>
        <w:rPr>
          <w:rFonts w:ascii="Arial" w:hAnsi="Arial" w:cs="Arial"/>
        </w:rPr>
        <w:t>« 2026_SEO_ DEP_Donges _NomDuCandidat_offre »</w:t>
      </w:r>
    </w:p>
    <w:p w:rsidR="00C76715" w:rsidRDefault="00944E09">
      <w:pPr>
        <w:pStyle w:val="Paragraphedeliste"/>
        <w:widowControl w:val="0"/>
        <w:numPr>
          <w:ilvl w:val="0"/>
          <w:numId w:val="8"/>
        </w:numPr>
        <w:tabs>
          <w:tab w:val="left" w:pos="0"/>
        </w:tabs>
        <w:spacing w:before="100" w:after="0" w:line="240" w:lineRule="auto"/>
        <w:ind w:left="284" w:hanging="284"/>
        <w:contextualSpacing w:val="0"/>
        <w:jc w:val="both"/>
        <w:textAlignment w:val="center"/>
        <w:rPr>
          <w:rFonts w:ascii="Arial" w:hAnsi="Arial" w:cs="Arial"/>
          <w:b/>
          <w:lang w:bidi="fa-IR"/>
        </w:rPr>
      </w:pPr>
      <w:r>
        <w:rPr>
          <w:rFonts w:ascii="Arial" w:hAnsi="Arial" w:cs="Arial"/>
          <w:b/>
          <w:lang w:bidi="fa-IR"/>
        </w:rPr>
        <w:t>compresser ces deux dossiers candidatures et offre au sein d’un seul dossier compressé à nommer :</w:t>
      </w:r>
      <w:bookmarkStart w:id="21" w:name="_GoBack"/>
      <w:bookmarkEnd w:id="21"/>
    </w:p>
    <w:p w:rsidR="00C76715" w:rsidRDefault="00944E09">
      <w:pPr>
        <w:pStyle w:val="Paragraphedeliste"/>
        <w:widowControl w:val="0"/>
        <w:tabs>
          <w:tab w:val="left" w:pos="0"/>
        </w:tabs>
        <w:spacing w:before="100" w:after="0" w:line="240" w:lineRule="auto"/>
        <w:ind w:left="709"/>
        <w:contextualSpacing w:val="0"/>
        <w:jc w:val="both"/>
        <w:textAlignment w:val="center"/>
        <w:rPr>
          <w:rFonts w:ascii="Arial" w:hAnsi="Arial" w:cs="Arial"/>
        </w:rPr>
      </w:pPr>
      <w:r>
        <w:rPr>
          <w:rFonts w:ascii="Arial" w:hAnsi="Arial" w:cs="Arial"/>
        </w:rPr>
        <w:t>« 2026_SEO_ DEP_Donges _NomDuCandidat_Pli »</w:t>
      </w:r>
    </w:p>
    <w:p w:rsidR="00C76715" w:rsidRDefault="00944E09">
      <w:pPr>
        <w:pStyle w:val="Paragraphedeliste"/>
        <w:widowControl w:val="0"/>
        <w:numPr>
          <w:ilvl w:val="0"/>
          <w:numId w:val="8"/>
        </w:numPr>
        <w:tabs>
          <w:tab w:val="left" w:pos="0"/>
        </w:tabs>
        <w:spacing w:before="100" w:after="0" w:line="240" w:lineRule="auto"/>
        <w:ind w:left="284" w:hanging="284"/>
        <w:contextualSpacing w:val="0"/>
        <w:jc w:val="both"/>
        <w:textAlignment w:val="center"/>
        <w:rPr>
          <w:rFonts w:ascii="Arial" w:hAnsi="Arial" w:cs="Arial"/>
          <w:b/>
          <w:lang w:bidi="fa-IR"/>
        </w:rPr>
      </w:pPr>
      <w:r>
        <w:rPr>
          <w:rFonts w:ascii="Arial" w:hAnsi="Arial" w:cs="Arial"/>
          <w:b/>
          <w:lang w:bidi="fa-IR"/>
        </w:rPr>
        <w:t>déposer le fichier du dossier du pli compressé sur la plateforme PLACE.</w:t>
      </w:r>
    </w:p>
    <w:p w:rsidR="00C76715" w:rsidRDefault="00944E09">
      <w:pPr>
        <w:spacing w:before="120" w:after="0" w:line="240" w:lineRule="auto"/>
        <w:ind w:left="0" w:firstLine="0"/>
      </w:pPr>
      <w:r>
        <w:rPr>
          <w:b/>
          <w:u w:val="single" w:color="000000"/>
        </w:rPr>
        <w:t>Horodatage :</w:t>
      </w:r>
      <w:r>
        <w:rPr>
          <w:b/>
        </w:rPr>
        <w:t xml:space="preserve"> </w:t>
      </w:r>
    </w:p>
    <w:p w:rsidR="00C76715" w:rsidRDefault="00944E09">
      <w:pPr>
        <w:spacing w:before="120" w:after="0" w:line="240" w:lineRule="auto"/>
        <w:ind w:left="0" w:firstLine="0"/>
      </w:pPr>
      <w:r>
        <w:t>Les plis (candidatures et/ou offres) transmis par voie électronique sont horodatés. Les plis reçus après la date et l'heure limite fixées par la présente consultation sont considérés comme hors délai et sont rejetés.</w:t>
      </w:r>
    </w:p>
    <w:p w:rsidR="00C76715" w:rsidRDefault="00944E09">
      <w:pPr>
        <w:spacing w:before="120" w:after="0" w:line="240" w:lineRule="auto"/>
        <w:ind w:left="0" w:firstLine="0"/>
      </w:pPr>
      <w:r>
        <w:t>En cas d'indisponibilité de la plate-forme, la date et l'heure limite de remise des plis peuvent être modifiées.</w:t>
      </w:r>
    </w:p>
    <w:p w:rsidR="00C76715" w:rsidRDefault="00944E09">
      <w:pPr>
        <w:spacing w:before="120" w:after="0" w:line="240" w:lineRule="auto"/>
        <w:ind w:left="0" w:firstLine="0"/>
      </w:pPr>
      <w:r>
        <w:rPr>
          <w:b/>
          <w:u w:val="single" w:color="000000"/>
        </w:rPr>
        <w:t>Copie de sauvegarde :</w:t>
      </w:r>
      <w:r>
        <w:rPr>
          <w:b/>
        </w:rPr>
        <w:t xml:space="preserve"> </w:t>
      </w:r>
    </w:p>
    <w:p w:rsidR="00C76715" w:rsidRDefault="00944E09">
      <w:pPr>
        <w:spacing w:before="120" w:after="0" w:line="240" w:lineRule="auto"/>
        <w:ind w:left="0" w:firstLine="0"/>
      </w:pPr>
      <w:r>
        <w:t>Le candidat ou le soumissionnaire peut faire parvenir une copie de sauvegarde dans les délais impartis pour la remise des offres.</w:t>
      </w:r>
    </w:p>
    <w:p w:rsidR="00C76715" w:rsidRDefault="00944E09">
      <w:pPr>
        <w:spacing w:before="120" w:after="0" w:line="240" w:lineRule="auto"/>
        <w:ind w:left="0" w:firstLine="0"/>
      </w:pPr>
      <w:r>
        <w:t xml:space="preserve">Cette copie de sauvegarde, transmise à l'acheteur sur support papier ou sur support physique électronique, doit être placée dans un pli comportant les mentions suivantes : </w:t>
      </w:r>
    </w:p>
    <w:p w:rsidR="00C76715" w:rsidRDefault="00944E09">
      <w:pPr>
        <w:pStyle w:val="Standard"/>
        <w:numPr>
          <w:ilvl w:val="0"/>
          <w:numId w:val="2"/>
        </w:numPr>
        <w:spacing w:before="60"/>
        <w:ind w:left="284" w:hanging="284"/>
        <w:rPr>
          <w:rFonts w:cs="Arial"/>
          <w:sz w:val="22"/>
          <w:szCs w:val="22"/>
        </w:rPr>
      </w:pPr>
      <w:r>
        <w:rPr>
          <w:rFonts w:cs="Arial"/>
          <w:sz w:val="22"/>
          <w:szCs w:val="22"/>
        </w:rPr>
        <w:t>« Copie de sauvegarde » ;</w:t>
      </w:r>
    </w:p>
    <w:p w:rsidR="00C76715" w:rsidRDefault="00944E09">
      <w:pPr>
        <w:pStyle w:val="Standard"/>
        <w:numPr>
          <w:ilvl w:val="0"/>
          <w:numId w:val="2"/>
        </w:numPr>
        <w:spacing w:before="60"/>
        <w:ind w:left="284" w:hanging="284"/>
        <w:rPr>
          <w:rFonts w:cs="Arial"/>
          <w:sz w:val="22"/>
          <w:szCs w:val="22"/>
        </w:rPr>
      </w:pPr>
      <w:r>
        <w:rPr>
          <w:rFonts w:cs="Arial"/>
          <w:sz w:val="22"/>
          <w:szCs w:val="22"/>
        </w:rPr>
        <w:t>l’intitulé de la consultation ;</w:t>
      </w:r>
    </w:p>
    <w:p w:rsidR="00C76715" w:rsidRDefault="00944E09">
      <w:pPr>
        <w:pStyle w:val="Standard"/>
        <w:numPr>
          <w:ilvl w:val="0"/>
          <w:numId w:val="2"/>
        </w:numPr>
        <w:spacing w:before="60"/>
        <w:ind w:left="284" w:hanging="284"/>
        <w:rPr>
          <w:rFonts w:cs="Arial"/>
          <w:sz w:val="22"/>
          <w:szCs w:val="22"/>
        </w:rPr>
      </w:pPr>
      <w:r>
        <w:rPr>
          <w:rFonts w:cs="Arial"/>
          <w:sz w:val="22"/>
          <w:szCs w:val="22"/>
        </w:rPr>
        <w:t>le nom ou la dénomination du candidat ;</w:t>
      </w:r>
    </w:p>
    <w:p w:rsidR="00C76715" w:rsidRDefault="00944E09">
      <w:pPr>
        <w:pStyle w:val="Standard"/>
        <w:spacing w:before="60"/>
        <w:rPr>
          <w:rFonts w:cs="Arial"/>
          <w:sz w:val="22"/>
          <w:szCs w:val="22"/>
        </w:rPr>
      </w:pPr>
      <w:r>
        <w:rPr>
          <w:rFonts w:cs="Arial"/>
          <w:sz w:val="22"/>
          <w:szCs w:val="22"/>
        </w:rPr>
        <w:t xml:space="preserve">La copie de sauvegarde ne peut être ouverte que dans les deux cas suivants : </w:t>
      </w:r>
    </w:p>
    <w:p w:rsidR="00C76715" w:rsidRDefault="00944E09">
      <w:pPr>
        <w:pStyle w:val="Standard"/>
        <w:numPr>
          <w:ilvl w:val="0"/>
          <w:numId w:val="5"/>
        </w:numPr>
        <w:spacing w:before="60"/>
        <w:ind w:left="284" w:hanging="284"/>
        <w:rPr>
          <w:rFonts w:cs="Arial"/>
          <w:sz w:val="22"/>
          <w:szCs w:val="22"/>
        </w:rPr>
      </w:pPr>
      <w:r>
        <w:rPr>
          <w:rFonts w:cs="Arial"/>
          <w:sz w:val="22"/>
          <w:szCs w:val="22"/>
        </w:rPr>
        <w:t>en cas de détection d'un programme informatique malveillant dans les candidatures ou les offres transmises par voie électronique ;</w:t>
      </w:r>
    </w:p>
    <w:p w:rsidR="00C76715" w:rsidRDefault="00944E09">
      <w:pPr>
        <w:pStyle w:val="Standard"/>
        <w:numPr>
          <w:ilvl w:val="0"/>
          <w:numId w:val="5"/>
        </w:numPr>
        <w:spacing w:before="60"/>
        <w:ind w:left="284" w:hanging="284"/>
        <w:rPr>
          <w:rFonts w:cs="Arial"/>
          <w:sz w:val="22"/>
          <w:szCs w:val="22"/>
        </w:rPr>
      </w:pPr>
      <w:r>
        <w:rPr>
          <w:rFonts w:cs="Arial"/>
          <w:sz w:val="22"/>
          <w:szCs w:val="22"/>
        </w:rPr>
        <w:t>en cas de candidature ou d'offre électronique reçue de façon incomplète, hors délais ou n'ayant pu être ouverte, sous réserve que la transmission de l'offre électronique ait commencé avant la clôture de la remise des candidatures ou des offres.</w:t>
      </w:r>
    </w:p>
    <w:p w:rsidR="00C76715" w:rsidRDefault="00944E09">
      <w:pPr>
        <w:spacing w:before="120" w:after="0" w:line="240" w:lineRule="auto"/>
        <w:ind w:left="0" w:firstLine="0"/>
      </w:pPr>
      <w:r>
        <w:t>Si un programme informatique malveillant est détecté, la copie de sauvegarde est écartée par l'acheteur.</w:t>
      </w:r>
    </w:p>
    <w:p w:rsidR="00C76715" w:rsidRDefault="00944E09">
      <w:pPr>
        <w:spacing w:before="120" w:after="0" w:line="240" w:lineRule="auto"/>
        <w:ind w:left="0" w:firstLine="0"/>
      </w:pPr>
      <w:r>
        <w:lastRenderedPageBreak/>
        <w:t>La copie de sauvegarde ouverte est conservée en cas d'ouverture conformément aux dispositions de l’</w:t>
      </w:r>
      <w:hyperlink r:id="rId39">
        <w:r>
          <w:rPr>
            <w:rStyle w:val="Lienhypertexte"/>
          </w:rPr>
          <w:t>article R.2384-</w:t>
        </w:r>
      </w:hyperlink>
      <w:r>
        <w:rPr>
          <w:rStyle w:val="Lienhypertexte"/>
        </w:rPr>
        <w:t>5</w:t>
      </w:r>
      <w:r>
        <w:t>du Code de la commande publique. Si au contraire elle n'a pas été ouverte ou si elle a été écartée suite à la détection d'un programme malveillant, celle-ci est détruite.</w:t>
      </w:r>
    </w:p>
    <w:p w:rsidR="00C76715" w:rsidRDefault="00944E09">
      <w:pPr>
        <w:spacing w:before="120" w:after="0" w:line="240" w:lineRule="auto"/>
        <w:ind w:left="0" w:firstLine="0"/>
      </w:pPr>
      <w:r>
        <w:t xml:space="preserve">Le candidat ou soumissionnaire qui envoie ou dépose sa copie de sauvegarde en main propre contre récépissé, le fait à l'adresse suivante : </w:t>
      </w:r>
    </w:p>
    <w:p w:rsidR="00C76715" w:rsidRDefault="00944E09">
      <w:pPr>
        <w:spacing w:before="60" w:after="0" w:line="240" w:lineRule="auto"/>
        <w:ind w:left="0" w:firstLine="0"/>
      </w:pPr>
      <w:r>
        <w:t>Centre de soutien technique et administratif (CSTA)</w:t>
      </w:r>
    </w:p>
    <w:p w:rsidR="00C76715" w:rsidRDefault="00944E09">
      <w:pPr>
        <w:spacing w:before="60" w:after="0" w:line="240" w:lineRule="auto"/>
        <w:ind w:left="0" w:firstLine="0"/>
      </w:pPr>
      <w:r>
        <w:t>Bureau achats / section infrastructures</w:t>
      </w:r>
    </w:p>
    <w:p w:rsidR="00C76715" w:rsidRDefault="00944E09">
      <w:pPr>
        <w:spacing w:before="60" w:after="0" w:line="240" w:lineRule="auto"/>
        <w:ind w:left="0" w:firstLine="0"/>
      </w:pPr>
      <w:r>
        <w:t>47, rue Sainte Catherine</w:t>
      </w:r>
    </w:p>
    <w:p w:rsidR="00C76715" w:rsidRDefault="00944E09">
      <w:pPr>
        <w:spacing w:before="60" w:after="0" w:line="240" w:lineRule="auto"/>
        <w:ind w:left="0" w:firstLine="0"/>
      </w:pPr>
      <w:r>
        <w:t>CS n°60016 54035 Nancy Cedex.</w:t>
      </w:r>
    </w:p>
    <w:p w:rsidR="00C76715" w:rsidRDefault="00C76715">
      <w:pPr>
        <w:spacing w:before="60" w:after="0" w:line="240" w:lineRule="auto"/>
        <w:ind w:left="0" w:firstLine="0"/>
      </w:pPr>
    </w:p>
    <w:p w:rsidR="00C76715" w:rsidRDefault="00944E09">
      <w:pPr>
        <w:spacing w:before="60" w:after="0" w:line="240" w:lineRule="auto"/>
        <w:ind w:left="0" w:firstLine="0"/>
        <w:rPr>
          <w:b/>
          <w:u w:val="single"/>
        </w:rPr>
      </w:pPr>
      <w:r>
        <w:rPr>
          <w:b/>
          <w:u w:val="single"/>
        </w:rPr>
        <w:t>Copie de sauvegarde électronique</w:t>
      </w:r>
    </w:p>
    <w:p w:rsidR="00C76715" w:rsidRDefault="00944E09">
      <w:pPr>
        <w:spacing w:before="120" w:after="0" w:line="240" w:lineRule="auto"/>
        <w:ind w:left="0" w:firstLine="0"/>
        <w:rPr>
          <w:u w:color="000000"/>
        </w:rPr>
      </w:pPr>
      <w:r>
        <w:rPr>
          <w:u w:color="000000"/>
        </w:rPr>
        <w:t>Le dépôt d’une copie de sauvegarde électronique est autorisé dans la présente consultation.</w:t>
      </w:r>
    </w:p>
    <w:p w:rsidR="00C76715" w:rsidRDefault="00944E09">
      <w:pPr>
        <w:spacing w:before="120" w:after="0" w:line="240" w:lineRule="auto"/>
        <w:ind w:left="0" w:firstLine="0"/>
        <w:rPr>
          <w:u w:color="000000"/>
        </w:rPr>
      </w:pPr>
      <w:r>
        <w:rPr>
          <w:u w:color="000000"/>
        </w:rPr>
        <w:t>L’opérateur économique peut faire parvenir une copie de sauvegarde électronique dans les délais impartis pour la date limite de remise des offres.</w:t>
      </w:r>
    </w:p>
    <w:p w:rsidR="00C76715" w:rsidRDefault="00944E09">
      <w:pPr>
        <w:spacing w:before="120" w:after="0" w:line="240" w:lineRule="auto"/>
        <w:ind w:left="0" w:firstLine="0"/>
        <w:rPr>
          <w:u w:color="000000"/>
        </w:rPr>
      </w:pPr>
      <w:r>
        <w:rPr>
          <w:u w:color="000000"/>
        </w:rPr>
        <w:t>Le dépôt de la copie de sauvegarde électronique doit s’effectuer dans le respect des exigences de l’</w:t>
      </w:r>
      <w:hyperlink r:id="rId40">
        <w:r>
          <w:rPr>
            <w:rStyle w:val="Lienhypertexte"/>
            <w:u w:val="none" w:color="000000"/>
          </w:rPr>
          <w:t>arrêté du 22 mars 2019</w:t>
        </w:r>
      </w:hyperlink>
      <w:r>
        <w:rPr>
          <w:u w:color="000000"/>
        </w:rPr>
        <w:t xml:space="preserve"> relatif aux exigences minimales des moyens de communication électronique utilisés dans la commande publique (CCP) en son annexe 8.</w:t>
      </w:r>
    </w:p>
    <w:p w:rsidR="00C76715" w:rsidRDefault="00944E09">
      <w:pPr>
        <w:spacing w:before="120" w:after="0" w:line="240" w:lineRule="auto"/>
        <w:ind w:left="0" w:firstLine="0"/>
        <w:rPr>
          <w:u w:color="000000"/>
        </w:rPr>
      </w:pPr>
      <w:r>
        <w:rPr>
          <w:u w:color="000000"/>
        </w:rPr>
        <w:t xml:space="preserve">A cet égard, l’opérateur peut recourir : </w:t>
      </w:r>
    </w:p>
    <w:p w:rsidR="00C76715" w:rsidRDefault="00944E09">
      <w:pPr>
        <w:pStyle w:val="Paragraphedeliste"/>
        <w:numPr>
          <w:ilvl w:val="0"/>
          <w:numId w:val="5"/>
        </w:numPr>
        <w:spacing w:before="120" w:after="0" w:line="240" w:lineRule="auto"/>
        <w:ind w:left="284" w:hanging="284"/>
        <w:rPr>
          <w:rFonts w:ascii="Arial" w:hAnsi="Arial" w:cs="Arial"/>
          <w:u w:color="000000"/>
        </w:rPr>
      </w:pPr>
      <w:r>
        <w:rPr>
          <w:rFonts w:ascii="Arial" w:hAnsi="Arial" w:cs="Arial"/>
          <w:u w:color="000000"/>
        </w:rPr>
        <w:t>soit à une solution intégrée satisfaisant l’ensemble des exigences précitées ;</w:t>
      </w:r>
    </w:p>
    <w:p w:rsidR="00C76715" w:rsidRDefault="00944E09">
      <w:pPr>
        <w:pStyle w:val="Paragraphedeliste"/>
        <w:numPr>
          <w:ilvl w:val="0"/>
          <w:numId w:val="5"/>
        </w:numPr>
        <w:spacing w:before="120" w:after="0" w:line="240" w:lineRule="auto"/>
        <w:ind w:left="284" w:hanging="284"/>
        <w:rPr>
          <w:rFonts w:ascii="Arial" w:hAnsi="Arial" w:cs="Arial"/>
          <w:u w:color="000000"/>
        </w:rPr>
      </w:pPr>
      <w:r>
        <w:rPr>
          <w:rFonts w:ascii="Arial" w:hAnsi="Arial" w:cs="Arial"/>
          <w:u w:color="000000"/>
        </w:rPr>
        <w:t>soit à plusieurs solutions dont la combinaison permet de satisfaire l’ensemble de ces exigences.</w:t>
      </w:r>
    </w:p>
    <w:p w:rsidR="00C76715" w:rsidRDefault="00944E09">
      <w:pPr>
        <w:spacing w:before="120" w:after="0" w:line="240" w:lineRule="auto"/>
        <w:ind w:left="0" w:firstLine="0"/>
        <w:rPr>
          <w:u w:color="000000"/>
        </w:rPr>
      </w:pPr>
      <w:r>
        <w:rPr>
          <w:u w:color="000000"/>
        </w:rPr>
        <w:t>Il peut ainsi recourir à une solution lui permettant de d’identifier, d’indiquer le destinataire de son dépôt, d’horodater son pli puis de le mettre en ligne sur une plateforme de stockage sécurisée.</w:t>
      </w:r>
    </w:p>
    <w:p w:rsidR="00C76715" w:rsidRDefault="00944E09">
      <w:pPr>
        <w:spacing w:before="120" w:after="0" w:line="240" w:lineRule="auto"/>
        <w:ind w:left="0" w:firstLine="0"/>
        <w:rPr>
          <w:u w:color="000000"/>
        </w:rPr>
      </w:pPr>
      <w:r>
        <w:rPr>
          <w:u w:color="000000"/>
        </w:rPr>
        <w:t>Avant l’échéance de la date limite de remise des candidatures ou offres, l’acheteur devra être destinataire des données nécessaire pour pouvoir, au besoin, accéder de façon sécurisée à la copie de sauvegarde électronique.</w:t>
      </w:r>
    </w:p>
    <w:p w:rsidR="00C76715" w:rsidRDefault="00944E09">
      <w:pPr>
        <w:spacing w:before="120" w:after="0" w:line="240" w:lineRule="auto"/>
        <w:ind w:left="0" w:firstLine="0"/>
        <w:rPr>
          <w:u w:color="000000"/>
        </w:rPr>
      </w:pPr>
      <w:r>
        <w:rPr>
          <w:u w:color="000000"/>
        </w:rPr>
        <w:t>Dès lors que le pli comporte des données à caractère personnel, la plateforme de stockage utilisée par l’opérateur économique respecte les exigences du Règlement général pour la protection des données (ou bénéficier d’un régime de protection équivalent à celui du RGPD si l’hébergement est effectué dans un pays tiers à l’Union européenne).</w:t>
      </w:r>
    </w:p>
    <w:p w:rsidR="00C76715" w:rsidRDefault="00944E09">
      <w:pPr>
        <w:spacing w:before="120" w:after="0" w:line="240" w:lineRule="auto"/>
        <w:ind w:left="0" w:firstLine="0"/>
        <w:rPr>
          <w:u w:color="000000"/>
        </w:rPr>
      </w:pPr>
      <w:r>
        <w:rPr>
          <w:u w:color="000000"/>
        </w:rPr>
        <w:t>En tout état de cause, la solution retenue par l’opérateur garantit la suppression des données dans un délai n’excédant pas celui de la durée de validité des candidatures ou des offres de la présente consultation.</w:t>
      </w:r>
    </w:p>
    <w:p w:rsidR="00C76715" w:rsidRDefault="00944E09">
      <w:pPr>
        <w:spacing w:before="120" w:after="0" w:line="240" w:lineRule="auto"/>
        <w:ind w:left="0" w:firstLine="0"/>
        <w:rPr>
          <w:u w:color="000000"/>
        </w:rPr>
      </w:pPr>
      <w:r>
        <w:rPr>
          <w:u w:color="000000"/>
        </w:rPr>
        <w:t xml:space="preserve">La copie de sauvegarde électronique ne peut être ouverte que dans les deux cas suivants : </w:t>
      </w:r>
    </w:p>
    <w:p w:rsidR="00C76715" w:rsidRDefault="00944E09">
      <w:pPr>
        <w:pStyle w:val="Paragraphedeliste"/>
        <w:numPr>
          <w:ilvl w:val="0"/>
          <w:numId w:val="5"/>
        </w:numPr>
        <w:spacing w:before="120" w:after="0" w:line="240" w:lineRule="auto"/>
        <w:ind w:left="284" w:hanging="284"/>
        <w:rPr>
          <w:rFonts w:ascii="Arial" w:hAnsi="Arial" w:cs="Arial"/>
          <w:u w:color="000000"/>
        </w:rPr>
      </w:pPr>
      <w:r>
        <w:rPr>
          <w:rFonts w:ascii="Arial" w:hAnsi="Arial" w:cs="Arial"/>
          <w:u w:color="000000"/>
        </w:rPr>
        <w:t>en cas de détection d’un programme informatique malveillant dans les plis transmis par voie électronique ;</w:t>
      </w:r>
    </w:p>
    <w:p w:rsidR="00C76715" w:rsidRDefault="00944E09">
      <w:pPr>
        <w:pStyle w:val="Paragraphedeliste"/>
        <w:numPr>
          <w:ilvl w:val="0"/>
          <w:numId w:val="5"/>
        </w:numPr>
        <w:spacing w:before="120" w:after="0" w:line="240" w:lineRule="auto"/>
        <w:ind w:left="284" w:hanging="284"/>
        <w:rPr>
          <w:rFonts w:ascii="Arial" w:hAnsi="Arial" w:cs="Arial"/>
          <w:u w:color="000000"/>
        </w:rPr>
      </w:pPr>
      <w:r>
        <w:rPr>
          <w:rFonts w:ascii="Arial" w:hAnsi="Arial" w:cs="Arial"/>
          <w:u w:color="000000"/>
        </w:rPr>
        <w:t>en cas de pli reçu de façon incomplète, hors délais ou n’ayant pu être ouvert, sous réserve que la transmission ait commencé avant la date limite de remise des candidatures ou des offres.</w:t>
      </w:r>
    </w:p>
    <w:p w:rsidR="00C76715" w:rsidRDefault="00944E09">
      <w:pPr>
        <w:spacing w:before="120" w:after="0" w:line="240" w:lineRule="auto"/>
        <w:rPr>
          <w:u w:color="000000"/>
        </w:rPr>
      </w:pPr>
      <w:r>
        <w:rPr>
          <w:u w:color="000000"/>
        </w:rPr>
        <w:t>Le soumissionnaire peut ainsi adresser sa copie de sauvegarde en utilisant le service Internet France Transfert qui permet la transmission sécurisée de fichiers avec horodatage.</w:t>
      </w:r>
    </w:p>
    <w:p w:rsidR="00C76715" w:rsidRDefault="00944E09">
      <w:pPr>
        <w:spacing w:before="120" w:after="0" w:line="240" w:lineRule="auto"/>
        <w:rPr>
          <w:u w:color="000000"/>
        </w:rPr>
      </w:pPr>
      <w:r>
        <w:rPr>
          <w:u w:color="000000"/>
        </w:rPr>
        <w:t>Il adresse alors son pli de sauvegarde aux adresses en indiquant en commentaire lors du dépôt des fichiers la référence de la consultation et la mention « copie de sauvegarde » :</w:t>
      </w:r>
    </w:p>
    <w:p w:rsidR="00C76715" w:rsidRDefault="00E417DC">
      <w:pPr>
        <w:spacing w:before="120" w:after="0" w:line="240" w:lineRule="auto"/>
        <w:rPr>
          <w:u w:color="000000"/>
        </w:rPr>
      </w:pPr>
      <w:hyperlink r:id="rId41">
        <w:r w:rsidR="00944E09">
          <w:rPr>
            <w:rStyle w:val="Lienhypertexte"/>
            <w:u w:val="none" w:color="000000"/>
          </w:rPr>
          <w:t>frederic.rizzo@intradef.gouv.fr</w:t>
        </w:r>
      </w:hyperlink>
      <w:r w:rsidR="00944E09">
        <w:rPr>
          <w:u w:color="000000"/>
        </w:rPr>
        <w:t xml:space="preserve"> </w:t>
      </w:r>
    </w:p>
    <w:p w:rsidR="00C76715" w:rsidRDefault="00E417DC">
      <w:pPr>
        <w:spacing w:before="120" w:after="0" w:line="240" w:lineRule="auto"/>
        <w:rPr>
          <w:u w:color="000000"/>
        </w:rPr>
      </w:pPr>
      <w:hyperlink r:id="rId42">
        <w:r w:rsidR="00944E09">
          <w:rPr>
            <w:rStyle w:val="Lienhypertexte"/>
            <w:u w:val="none" w:color="000000"/>
          </w:rPr>
          <w:t>vincent.paque@intradef.gouv.fr</w:t>
        </w:r>
      </w:hyperlink>
      <w:r w:rsidR="00944E09">
        <w:rPr>
          <w:u w:color="000000"/>
        </w:rPr>
        <w:t xml:space="preserve"> </w:t>
      </w:r>
    </w:p>
    <w:p w:rsidR="00C76715" w:rsidRDefault="00944E09">
      <w:pPr>
        <w:spacing w:before="120" w:after="0" w:line="240" w:lineRule="auto"/>
        <w:ind w:left="0" w:firstLine="0"/>
        <w:rPr>
          <w:b/>
          <w:u w:val="single" w:color="000000"/>
        </w:rPr>
      </w:pPr>
      <w:r>
        <w:rPr>
          <w:b/>
          <w:u w:val="single" w:color="000000"/>
        </w:rPr>
        <w:t xml:space="preserve">Antivirus : </w:t>
      </w:r>
    </w:p>
    <w:p w:rsidR="00C76715" w:rsidRDefault="00944E09">
      <w:pPr>
        <w:spacing w:before="120" w:after="0" w:line="240" w:lineRule="auto"/>
        <w:ind w:left="0" w:firstLine="0"/>
      </w:pPr>
      <w:r>
        <w:t>Le candidat ou le soumissionnaire doit s'assurer que les fichiers transmis ne comportent pas de virus.</w:t>
      </w:r>
    </w:p>
    <w:p w:rsidR="00C76715" w:rsidRDefault="00944E09">
      <w:pPr>
        <w:spacing w:before="120" w:after="0" w:line="240" w:lineRule="auto"/>
        <w:ind w:left="0" w:firstLine="0"/>
      </w:pPr>
      <w:r>
        <w:t>La réception de tout fichier contenant un virus entraînera l'irrecevabilité de l'offre. Si un virus est détecté, le pli sera considéré comme n'ayant jamais été reçu et les soumissionnaires en sont avertis grâce aux renseignements saisis lors de leur identification.</w:t>
      </w:r>
    </w:p>
    <w:p w:rsidR="00C76715" w:rsidRDefault="00944E09">
      <w:pPr>
        <w:spacing w:before="120" w:after="0" w:line="240" w:lineRule="auto"/>
        <w:ind w:left="0" w:firstLine="0"/>
        <w:rPr>
          <w:b/>
          <w:u w:val="single" w:color="000000"/>
        </w:rPr>
      </w:pPr>
      <w:r>
        <w:rPr>
          <w:b/>
          <w:u w:val="single" w:color="000000"/>
        </w:rPr>
        <w:lastRenderedPageBreak/>
        <w:t xml:space="preserve">Mode secours de transmission des plis : </w:t>
      </w:r>
    </w:p>
    <w:p w:rsidR="00C76715" w:rsidRDefault="00944E09">
      <w:pPr>
        <w:spacing w:before="120" w:after="0" w:line="240" w:lineRule="auto"/>
        <w:ind w:left="0" w:firstLine="0"/>
        <w:rPr>
          <w:b/>
          <w:u w:val="single" w:color="000000"/>
        </w:rPr>
      </w:pPr>
      <w:r>
        <w:t>Il est rappelé que l’opérateur économique est invité à vérifier la configuration de son poste avant la date limite de dépôt des plis.</w:t>
      </w:r>
    </w:p>
    <w:p w:rsidR="00C76715" w:rsidRDefault="00944E09">
      <w:pPr>
        <w:spacing w:before="120" w:after="0" w:line="240" w:lineRule="auto"/>
        <w:ind w:left="0" w:firstLine="0"/>
      </w:pPr>
      <w:r>
        <w:t>Si toutefois l’opérateur économique n’est pas en mesure de déposer son pli avant la date limite de dépôt pour des raisons liées à un blocage technique du site PLACE, il doit utiliser l’assistance en ligne du site de la PLACE. Une fois le formulaire en ligne renseigné et envoyé, le numéro d'appel de l'assistance s'affiche.</w:t>
      </w:r>
    </w:p>
    <w:p w:rsidR="00C76715" w:rsidRDefault="00944E09">
      <w:pPr>
        <w:spacing w:before="120" w:after="0" w:line="240" w:lineRule="auto"/>
        <w:ind w:left="0" w:firstLine="0"/>
      </w:pPr>
      <w:r>
        <w:t xml:space="preserve">Dans le cas où le problème ne serait pas résolu avec l'assistance en ligne de la PLACE, la procédure de secours à utiliser débute par l’envoi d'un courriel au bureau achats du CSTA aux adresses </w:t>
      </w:r>
      <w:r>
        <w:br/>
        <w:t xml:space="preserve">suivantes : </w:t>
      </w:r>
    </w:p>
    <w:p w:rsidR="00C76715" w:rsidRDefault="00E417DC">
      <w:pPr>
        <w:spacing w:before="60" w:after="0" w:line="240" w:lineRule="auto"/>
        <w:ind w:left="0" w:firstLine="0"/>
      </w:pPr>
      <w:hyperlink r:id="rId43">
        <w:r w:rsidR="00944E09">
          <w:rPr>
            <w:rStyle w:val="Lienhypertexte"/>
            <w:u w:val="none" w:color="0563C1"/>
          </w:rPr>
          <w:t>frederic.rizzo@intradef.gouv.fr</w:t>
        </w:r>
      </w:hyperlink>
      <w:r w:rsidR="00944E09">
        <w:t xml:space="preserve"> ;</w:t>
      </w:r>
    </w:p>
    <w:p w:rsidR="00C76715" w:rsidRDefault="00E417DC">
      <w:pPr>
        <w:spacing w:before="60" w:after="0" w:line="240" w:lineRule="auto"/>
        <w:ind w:left="0" w:firstLine="0"/>
      </w:pPr>
      <w:hyperlink r:id="rId44">
        <w:r w:rsidR="00944E09">
          <w:rPr>
            <w:rStyle w:val="Lienhypertexte"/>
            <w:u w:val="none" w:color="0563C1"/>
          </w:rPr>
          <w:t>csta-ba-infra.contact.fct@intradef.gouv.fr</w:t>
        </w:r>
      </w:hyperlink>
      <w:r w:rsidR="00944E09">
        <w:t xml:space="preserve"> ;</w:t>
      </w:r>
    </w:p>
    <w:p w:rsidR="00C76715" w:rsidRDefault="00944E09">
      <w:pPr>
        <w:spacing w:before="60" w:after="0" w:line="240" w:lineRule="auto"/>
        <w:ind w:left="0" w:firstLine="0"/>
      </w:pPr>
      <w:r>
        <w:rPr>
          <w:color w:val="0563C1"/>
          <w:u w:val="single" w:color="0563C1"/>
        </w:rPr>
        <w:t>vincent.paque@intradef.gouv.fr</w:t>
      </w:r>
      <w:r>
        <w:t>.</w:t>
      </w:r>
    </w:p>
    <w:p w:rsidR="00C76715" w:rsidRDefault="00944E09">
      <w:pPr>
        <w:spacing w:before="120" w:after="0" w:line="240" w:lineRule="auto"/>
        <w:ind w:left="11" w:hanging="11"/>
      </w:pPr>
      <w:r>
        <w:t>Le courriel doit contenir le numéro de la demande d'assistance fourni par l'aide de la PLACE et prouver par une copie écran ou tout autre moyen de preuve que le problème du dépôt de pli provient d’une défaillance extérieure à l’opérateur économique ou à son environnement informatique ou, qu’il est survenu lors d’une opération maintenance technique de la PLACE.</w:t>
      </w:r>
    </w:p>
    <w:p w:rsidR="00C76715" w:rsidRDefault="00944E09">
      <w:pPr>
        <w:spacing w:before="120" w:after="0" w:line="240" w:lineRule="auto"/>
        <w:ind w:left="0" w:firstLine="0"/>
      </w:pPr>
      <w:r>
        <w:t>Si les causes sont imputables à l’administration, le pouvoir adjudicateur prolonge la date limite de remise des offres (DLRO) de vingt-quatre (24) heures sur la PLACE afin de permettre aux sociétés impactées par le blocage de déposer leur pli comme initialement prévu par la consultation. La décision d’accepter les plis transmis dans le cadre de cette prolongation relève du pouvoir adjudicateur après vérification.</w:t>
      </w:r>
    </w:p>
    <w:p w:rsidR="00C76715" w:rsidRDefault="00944E09">
      <w:pPr>
        <w:pStyle w:val="Titre1"/>
        <w:spacing w:before="360"/>
        <w:ind w:left="567" w:hanging="567"/>
        <w:rPr>
          <w:u w:val="single"/>
        </w:rPr>
      </w:pPr>
      <w:bookmarkStart w:id="22" w:name="_Toc234336713"/>
      <w:r>
        <w:rPr>
          <w:u w:val="single"/>
        </w:rPr>
        <w:t>CANDIDATURE</w:t>
      </w:r>
      <w:bookmarkEnd w:id="22"/>
    </w:p>
    <w:p w:rsidR="00C76715" w:rsidRDefault="00944E09">
      <w:pPr>
        <w:pStyle w:val="Titre2"/>
        <w:ind w:left="567" w:hanging="567"/>
      </w:pPr>
      <w:bookmarkStart w:id="23" w:name="_Toc234336714"/>
      <w:r>
        <w:t>Présentation de la candidature</w:t>
      </w:r>
      <w:bookmarkEnd w:id="23"/>
    </w:p>
    <w:p w:rsidR="00C76715" w:rsidRDefault="00944E09">
      <w:pPr>
        <w:ind w:left="0" w:right="520" w:firstLine="0"/>
      </w:pPr>
      <w:r>
        <w:t>Une même personne ne peut représenter plus d'un candidat pour un même marché.</w:t>
      </w:r>
    </w:p>
    <w:p w:rsidR="00C76715" w:rsidRDefault="00944E09">
      <w:pPr>
        <w:spacing w:after="142"/>
        <w:ind w:left="0" w:right="520" w:firstLine="0"/>
      </w:pPr>
      <w:r>
        <w:t xml:space="preserve">Dans le cadre de la consultation, l'acheteur </w:t>
      </w:r>
      <w:r>
        <w:rPr>
          <w:u w:val="single" w:color="000000"/>
        </w:rPr>
        <w:t>n'autorise pas</w:t>
      </w:r>
      <w:r>
        <w:t xml:space="preserve"> le candidat à présenter plusieurs offres en agissant à la fois : </w:t>
      </w:r>
    </w:p>
    <w:p w:rsidR="00C76715" w:rsidRDefault="00944E09">
      <w:pPr>
        <w:numPr>
          <w:ilvl w:val="0"/>
          <w:numId w:val="9"/>
        </w:numPr>
        <w:spacing w:after="0" w:line="388" w:lineRule="auto"/>
        <w:ind w:left="284" w:right="520" w:hanging="284"/>
      </w:pPr>
      <w:r>
        <w:t>en qualité de candidat individuel et de membre d'un groupement d'opérateurs économiques ;</w:t>
      </w:r>
    </w:p>
    <w:p w:rsidR="00C76715" w:rsidRDefault="00944E09">
      <w:pPr>
        <w:numPr>
          <w:ilvl w:val="0"/>
          <w:numId w:val="9"/>
        </w:numPr>
        <w:spacing w:after="0" w:line="388" w:lineRule="auto"/>
        <w:ind w:left="284" w:right="520" w:hanging="284"/>
      </w:pPr>
      <w:r>
        <w:t>en qualité de membre de plusieurs groupements d'opérateurs économiques.</w:t>
      </w:r>
    </w:p>
    <w:p w:rsidR="00C76715" w:rsidRDefault="00944E09">
      <w:pPr>
        <w:spacing w:after="147"/>
        <w:ind w:left="0" w:right="520" w:firstLine="0"/>
      </w:pPr>
      <w:r>
        <w:t xml:space="preserve">Dans le cas d'une candidature d'un groupement d'opérateurs économiques, chaque membre du groupement doit fournir l'ensemble des documents et renseignements attestant de ses capacités juridiques, professionnelles, techniques et financières. L'appréciation des capacités du groupement est globale. </w:t>
      </w:r>
    </w:p>
    <w:p w:rsidR="00C76715" w:rsidRDefault="00944E09">
      <w:pPr>
        <w:spacing w:after="145"/>
        <w:ind w:left="0" w:right="520" w:firstLine="0"/>
      </w:pPr>
      <w:r>
        <w:t xml:space="preserve">Les candidats ont le choix de présenter leur candidature : </w:t>
      </w:r>
    </w:p>
    <w:p w:rsidR="00C76715" w:rsidRDefault="00944E09">
      <w:pPr>
        <w:numPr>
          <w:ilvl w:val="0"/>
          <w:numId w:val="9"/>
        </w:numPr>
        <w:spacing w:after="145"/>
        <w:ind w:left="284" w:right="520" w:hanging="284"/>
      </w:pPr>
      <w:r>
        <w:t xml:space="preserve">sous forme de document unique de marché européen électronique (DUME) en utilisant le service DUME ou le service exposé de PLACE ; </w:t>
      </w:r>
    </w:p>
    <w:p w:rsidR="00C76715" w:rsidRDefault="00944E09">
      <w:pPr>
        <w:numPr>
          <w:ilvl w:val="0"/>
          <w:numId w:val="9"/>
        </w:numPr>
        <w:spacing w:after="229"/>
        <w:ind w:left="284" w:right="520" w:hanging="284"/>
      </w:pPr>
      <w:r>
        <w:t xml:space="preserve">sous forme de candidature standard en utilisant les formulaires DC1 et DC2. </w:t>
      </w:r>
    </w:p>
    <w:p w:rsidR="00C76715" w:rsidRDefault="00944E09">
      <w:pPr>
        <w:pStyle w:val="Titre3"/>
        <w:spacing w:before="240" w:after="120" w:line="240" w:lineRule="auto"/>
        <w:ind w:left="567" w:hanging="567"/>
      </w:pPr>
      <w:r>
        <w:t>Candidature sous forme de Document Unique de Marché Européen électronique (DUME)</w:t>
      </w:r>
    </w:p>
    <w:p w:rsidR="00C76715" w:rsidRDefault="00944E09">
      <w:pPr>
        <w:spacing w:after="143"/>
        <w:ind w:left="0" w:right="520" w:firstLine="0"/>
      </w:pPr>
      <w:r>
        <w:t xml:space="preserve">L’utilisation du formulaire DUME est souhaité par l’acheteur, les candidats peuvent présenter leur candidature en renseignant le DUME accessible : </w:t>
      </w:r>
    </w:p>
    <w:p w:rsidR="00C76715" w:rsidRDefault="00944E09">
      <w:pPr>
        <w:numPr>
          <w:ilvl w:val="0"/>
          <w:numId w:val="10"/>
        </w:numPr>
        <w:spacing w:after="144"/>
        <w:ind w:left="284" w:right="520" w:hanging="284"/>
      </w:pPr>
      <w:r>
        <w:t>depuis le service exposé de PLACE ;</w:t>
      </w:r>
    </w:p>
    <w:p w:rsidR="00C76715" w:rsidRDefault="00944E09">
      <w:pPr>
        <w:numPr>
          <w:ilvl w:val="0"/>
          <w:numId w:val="10"/>
        </w:numPr>
        <w:ind w:left="284" w:right="520" w:hanging="284"/>
      </w:pPr>
      <w:r>
        <w:t xml:space="preserve">depuis l'adresse URL suivante : </w:t>
      </w:r>
      <w:hyperlink r:id="rId45">
        <w:r>
          <w:rPr>
            <w:color w:val="0563C1"/>
            <w:u w:val="single" w:color="0563C1"/>
          </w:rPr>
          <w:t>https://dume.chorus</w:t>
        </w:r>
      </w:hyperlink>
      <w:hyperlink r:id="rId46">
        <w:r>
          <w:rPr>
            <w:color w:val="0563C1"/>
            <w:u w:val="single" w:color="0563C1"/>
          </w:rPr>
          <w:t>-</w:t>
        </w:r>
      </w:hyperlink>
      <w:hyperlink r:id="rId47">
        <w:r>
          <w:rPr>
            <w:color w:val="0563C1"/>
            <w:u w:val="single" w:color="0563C1"/>
          </w:rPr>
          <w:t>pro.gouv.fr</w:t>
        </w:r>
      </w:hyperlink>
      <w:hyperlink r:id="rId48">
        <w:r>
          <w:t>.</w:t>
        </w:r>
      </w:hyperlink>
    </w:p>
    <w:p w:rsidR="00C76715" w:rsidRDefault="00944E09">
      <w:pPr>
        <w:ind w:left="0" w:right="520" w:firstLine="0"/>
      </w:pPr>
      <w:r>
        <w:t xml:space="preserve">Les parties II (informations concernant l'opérateur économique), III (motifs d'exclusion), IV (critères de sélection) et le cas échéant V (réduction du nombre de candidats qualifiés) du </w:t>
      </w:r>
      <w:r>
        <w:lastRenderedPageBreak/>
        <w:t>formulaire sont à renseigner.</w:t>
      </w:r>
    </w:p>
    <w:p w:rsidR="00C76715" w:rsidRDefault="00944E09">
      <w:pPr>
        <w:spacing w:after="143"/>
        <w:ind w:left="0" w:right="520" w:firstLine="0"/>
      </w:pPr>
      <w:r>
        <w:t xml:space="preserve">Des renseignements complémentaires au sujet du DUME électronique sont disponibles à l'adresse URL suivante : </w:t>
      </w:r>
      <w:hyperlink r:id="rId49">
        <w:r>
          <w:rPr>
            <w:color w:val="0563C1"/>
            <w:u w:val="single" w:color="0563C1"/>
          </w:rPr>
          <w:t>https://communaute.chorus</w:t>
        </w:r>
      </w:hyperlink>
      <w:hyperlink r:id="rId50">
        <w:r>
          <w:rPr>
            <w:color w:val="0563C1"/>
            <w:u w:val="single" w:color="0563C1"/>
          </w:rPr>
          <w:t>-</w:t>
        </w:r>
      </w:hyperlink>
      <w:hyperlink r:id="rId51">
        <w:r>
          <w:rPr>
            <w:color w:val="0563C1"/>
            <w:u w:val="single" w:color="0563C1"/>
          </w:rPr>
          <w:t>pro.gouv.fr/pour</w:t>
        </w:r>
      </w:hyperlink>
      <w:hyperlink r:id="rId52">
        <w:r>
          <w:rPr>
            <w:color w:val="0563C1"/>
            <w:u w:val="single" w:color="0563C1"/>
          </w:rPr>
          <w:t>-</w:t>
        </w:r>
      </w:hyperlink>
      <w:hyperlink r:id="rId53">
        <w:r>
          <w:rPr>
            <w:color w:val="0563C1"/>
            <w:u w:val="single" w:color="0563C1"/>
          </w:rPr>
          <w:t>les</w:t>
        </w:r>
      </w:hyperlink>
      <w:hyperlink r:id="rId54">
        <w:r>
          <w:rPr>
            <w:color w:val="0563C1"/>
            <w:u w:val="single" w:color="0563C1"/>
          </w:rPr>
          <w:t>-</w:t>
        </w:r>
      </w:hyperlink>
      <w:hyperlink r:id="rId55">
        <w:r>
          <w:rPr>
            <w:color w:val="0563C1"/>
            <w:u w:val="single" w:color="0563C1"/>
          </w:rPr>
          <w:t>entreprises/</w:t>
        </w:r>
      </w:hyperlink>
    </w:p>
    <w:p w:rsidR="00C76715" w:rsidRDefault="00944E09">
      <w:pPr>
        <w:ind w:left="0" w:right="520" w:firstLine="0"/>
      </w:pPr>
      <w:r>
        <w:t>Si le groupement d'opérateurs économiques présente sa candidature sous la forme du DUME, chacun des membres du groupement doit fournir un DUME distinct.</w:t>
      </w:r>
    </w:p>
    <w:p w:rsidR="00C76715" w:rsidRDefault="00944E09">
      <w:pPr>
        <w:ind w:left="0" w:right="520" w:firstLine="0"/>
      </w:pPr>
      <w:r>
        <w:t>Si le candidat s'appuie sur un ou des sous-contractants ou d'autres opérateurs pour faire acte de candidature, il renseigne la partie II-C du DUME électronique et fournit pour chacun de ces sous-traitants un DUME électronique distinct par le sous-contractant et contenant les informations des sections A et B de la partie II ainsi que celles de la partie III et, le cas échéant, les parties IV et V.</w:t>
      </w:r>
    </w:p>
    <w:p w:rsidR="00C76715" w:rsidRDefault="00944E09">
      <w:pPr>
        <w:tabs>
          <w:tab w:val="center" w:pos="1059"/>
          <w:tab w:val="center" w:pos="2079"/>
          <w:tab w:val="center" w:pos="3194"/>
          <w:tab w:val="center" w:pos="4466"/>
          <w:tab w:val="center" w:pos="5381"/>
          <w:tab w:val="center" w:pos="5922"/>
          <w:tab w:val="center" w:pos="6897"/>
          <w:tab w:val="center" w:pos="7934"/>
          <w:tab w:val="center" w:pos="9102"/>
        </w:tabs>
        <w:spacing w:after="9"/>
        <w:ind w:left="0" w:firstLine="0"/>
        <w:jc w:val="left"/>
      </w:pPr>
      <w:r>
        <w:t xml:space="preserve">Le </w:t>
      </w:r>
      <w:r>
        <w:tab/>
        <w:t xml:space="preserve">candidat </w:t>
      </w:r>
      <w:r>
        <w:tab/>
        <w:t xml:space="preserve">remet </w:t>
      </w:r>
      <w:r>
        <w:tab/>
        <w:t xml:space="preserve">également </w:t>
      </w:r>
      <w:r>
        <w:tab/>
        <w:t xml:space="preserve">l'imprimé </w:t>
      </w:r>
      <w:r>
        <w:tab/>
        <w:t xml:space="preserve">DC </w:t>
      </w:r>
      <w:r>
        <w:tab/>
        <w:t xml:space="preserve">4 </w:t>
      </w:r>
      <w:r>
        <w:tab/>
        <w:t xml:space="preserve">(Déclaration </w:t>
      </w:r>
      <w:r>
        <w:tab/>
        <w:t xml:space="preserve">de </w:t>
      </w:r>
      <w:r>
        <w:tab/>
        <w:t>sous-contrat,</w:t>
      </w:r>
    </w:p>
    <w:p w:rsidR="00C76715" w:rsidRDefault="00E417DC">
      <w:pPr>
        <w:spacing w:after="83" w:line="266" w:lineRule="auto"/>
        <w:ind w:left="0" w:right="188" w:firstLine="0"/>
        <w:jc w:val="left"/>
      </w:pPr>
      <w:hyperlink r:id="rId56">
        <w:r w:rsidR="00944E09">
          <w:rPr>
            <w:color w:val="0563C1"/>
            <w:u w:val="single" w:color="0563C1"/>
          </w:rPr>
          <w:t>https://www.economie.gouv.fr/daj/formulaires</w:t>
        </w:r>
      </w:hyperlink>
      <w:hyperlink r:id="rId57">
        <w:r w:rsidR="00944E09">
          <w:rPr>
            <w:color w:val="0563C1"/>
            <w:u w:val="single" w:color="0563C1"/>
          </w:rPr>
          <w:t>-</w:t>
        </w:r>
      </w:hyperlink>
      <w:hyperlink r:id="rId58">
        <w:r w:rsidR="00944E09">
          <w:rPr>
            <w:color w:val="0563C1"/>
            <w:u w:val="single" w:color="0563C1"/>
          </w:rPr>
          <w:t>mise</w:t>
        </w:r>
      </w:hyperlink>
      <w:hyperlink r:id="rId59">
        <w:r w:rsidR="00944E09">
          <w:rPr>
            <w:color w:val="0563C1"/>
            <w:u w:val="single" w:color="0563C1"/>
          </w:rPr>
          <w:t>-</w:t>
        </w:r>
      </w:hyperlink>
      <w:hyperlink r:id="rId60">
        <w:r w:rsidR="00944E09">
          <w:rPr>
            <w:color w:val="0563C1"/>
            <w:u w:val="single" w:color="0563C1"/>
          </w:rPr>
          <w:t>a</w:t>
        </w:r>
      </w:hyperlink>
      <w:hyperlink r:id="rId61">
        <w:r w:rsidR="00944E09">
          <w:rPr>
            <w:color w:val="0563C1"/>
            <w:u w:val="single" w:color="0563C1"/>
          </w:rPr>
          <w:t>-</w:t>
        </w:r>
      </w:hyperlink>
      <w:hyperlink r:id="rId62">
        <w:r w:rsidR="00944E09">
          <w:rPr>
            <w:color w:val="0563C1"/>
            <w:u w:val="single" w:color="0563C1"/>
          </w:rPr>
          <w:t>jour</w:t>
        </w:r>
      </w:hyperlink>
      <w:hyperlink r:id="rId63">
        <w:r w:rsidR="00944E09">
          <w:rPr>
            <w:color w:val="0563C1"/>
            <w:u w:val="single" w:color="0563C1"/>
          </w:rPr>
          <w:t>-</w:t>
        </w:r>
      </w:hyperlink>
      <w:hyperlink r:id="rId64">
        <w:r w:rsidR="00944E09">
          <w:rPr>
            <w:color w:val="0563C1"/>
            <w:u w:val="single" w:color="0563C1"/>
          </w:rPr>
          <w:t>formulaire</w:t>
        </w:r>
      </w:hyperlink>
      <w:hyperlink r:id="rId65">
        <w:r w:rsidR="00944E09">
          <w:rPr>
            <w:color w:val="0563C1"/>
            <w:u w:val="single" w:color="0563C1"/>
          </w:rPr>
          <w:t>-</w:t>
        </w:r>
      </w:hyperlink>
      <w:hyperlink r:id="rId66">
        <w:r w:rsidR="00944E09">
          <w:rPr>
            <w:color w:val="0563C1"/>
            <w:u w:val="single" w:color="0563C1"/>
          </w:rPr>
          <w:t>declaration</w:t>
        </w:r>
      </w:hyperlink>
      <w:hyperlink r:id="rId67">
        <w:r w:rsidR="00944E09">
          <w:rPr>
            <w:color w:val="0563C1"/>
            <w:u w:val="single" w:color="0563C1"/>
          </w:rPr>
          <w:t>-</w:t>
        </w:r>
      </w:hyperlink>
      <w:hyperlink r:id="rId68">
        <w:r w:rsidR="00944E09">
          <w:rPr>
            <w:color w:val="0563C1"/>
            <w:u w:val="single" w:color="0563C1"/>
          </w:rPr>
          <w:t>sous</w:t>
        </w:r>
      </w:hyperlink>
      <w:hyperlink r:id="rId69">
        <w:r w:rsidR="00944E09">
          <w:rPr>
            <w:color w:val="0563C1"/>
            <w:u w:val="single" w:color="0563C1"/>
          </w:rPr>
          <w:t>-</w:t>
        </w:r>
      </w:hyperlink>
      <w:hyperlink r:id="rId70">
        <w:r w:rsidR="00944E09">
          <w:rPr>
            <w:color w:val="0563C1"/>
            <w:u w:val="single" w:color="0563C1"/>
          </w:rPr>
          <w:t>traitance</w:t>
        </w:r>
      </w:hyperlink>
      <w:hyperlink r:id="rId71">
        <w:r w:rsidR="00944E09">
          <w:rPr>
            <w:color w:val="0563C1"/>
            <w:u w:val="single" w:color="0563C1"/>
          </w:rPr>
          <w:t>dans</w:t>
        </w:r>
      </w:hyperlink>
      <w:hyperlink r:id="rId72">
        <w:r w:rsidR="00944E09">
          <w:rPr>
            <w:color w:val="0563C1"/>
            <w:u w:val="single" w:color="0563C1"/>
          </w:rPr>
          <w:t>-</w:t>
        </w:r>
      </w:hyperlink>
      <w:hyperlink r:id="rId73">
        <w:r w:rsidR="00944E09">
          <w:rPr>
            <w:color w:val="0563C1"/>
            <w:u w:val="single" w:color="0563C1"/>
          </w:rPr>
          <w:t>marches</w:t>
        </w:r>
      </w:hyperlink>
      <w:hyperlink r:id="rId74">
        <w:r w:rsidR="00944E09">
          <w:rPr>
            <w:color w:val="0563C1"/>
            <w:u w:val="single" w:color="0563C1"/>
          </w:rPr>
          <w:t>-</w:t>
        </w:r>
      </w:hyperlink>
      <w:hyperlink r:id="rId75">
        <w:r w:rsidR="00944E09">
          <w:rPr>
            <w:color w:val="0563C1"/>
            <w:u w:val="single" w:color="0563C1"/>
          </w:rPr>
          <w:t>publics</w:t>
        </w:r>
      </w:hyperlink>
      <w:hyperlink r:id="rId76">
        <w:r w:rsidR="00944E09">
          <w:t>)</w:t>
        </w:r>
      </w:hyperlink>
      <w:r w:rsidR="00944E09">
        <w:t xml:space="preserve"> dûment rempli par le sous-contractant et le candidat.</w:t>
      </w:r>
    </w:p>
    <w:p w:rsidR="00C76715" w:rsidRDefault="00944E09">
      <w:pPr>
        <w:spacing w:after="226"/>
        <w:ind w:left="0" w:right="520" w:firstLine="0"/>
      </w:pPr>
      <w:r>
        <w:t>Si le candidat ne s'appuie pas sur de la sous-traitance pour faire acte de candidature mais qu'il a l'intention de sous-traiter une part du marché, il renseigne la partie II-D du DUME électronique et fournit les informations figurant dans les parties II-A et B et III pour chacun de ces sous-traitants et remet un imprimé DC 4 (Déclaration de sous-traitance) dûment rempli par le candidat et le sous-contractant si ce dernier est connu.</w:t>
      </w:r>
    </w:p>
    <w:p w:rsidR="00C76715" w:rsidRDefault="00944E09">
      <w:pPr>
        <w:pStyle w:val="Titre3"/>
        <w:spacing w:before="240" w:after="120" w:line="240" w:lineRule="auto"/>
        <w:ind w:left="567" w:hanging="567"/>
      </w:pPr>
      <w:r>
        <w:t>Candidature sous forme de DC1 et DC2</w:t>
      </w:r>
    </w:p>
    <w:p w:rsidR="00C76715" w:rsidRDefault="00944E09">
      <w:pPr>
        <w:spacing w:after="145"/>
        <w:ind w:left="0" w:right="520" w:firstLine="0"/>
      </w:pPr>
      <w:r>
        <w:t xml:space="preserve">Les candidats transmettent les renseignements suivants : </w:t>
      </w:r>
    </w:p>
    <w:p w:rsidR="00C76715" w:rsidRDefault="00944E09">
      <w:pPr>
        <w:numPr>
          <w:ilvl w:val="0"/>
          <w:numId w:val="11"/>
        </w:numPr>
        <w:spacing w:after="145"/>
        <w:ind w:left="284" w:right="520" w:hanging="284"/>
      </w:pPr>
      <w:r>
        <w:t xml:space="preserve">la </w:t>
      </w:r>
      <w:r>
        <w:tab/>
        <w:t xml:space="preserve">lettre </w:t>
      </w:r>
      <w:r>
        <w:tab/>
        <w:t xml:space="preserve">de </w:t>
      </w:r>
      <w:r>
        <w:tab/>
        <w:t xml:space="preserve">candidature </w:t>
      </w:r>
      <w:r>
        <w:tab/>
        <w:t xml:space="preserve">ou </w:t>
      </w:r>
      <w:r>
        <w:tab/>
        <w:t xml:space="preserve">formulaire </w:t>
      </w:r>
      <w:r>
        <w:tab/>
        <w:t xml:space="preserve">DC1 </w:t>
      </w:r>
      <w:r>
        <w:tab/>
        <w:t xml:space="preserve">(téléchargeable </w:t>
      </w:r>
      <w:r>
        <w:tab/>
        <w:t xml:space="preserve">à </w:t>
      </w:r>
      <w:r>
        <w:tab/>
        <w:t xml:space="preserve">partir </w:t>
      </w:r>
      <w:r>
        <w:tab/>
        <w:t xml:space="preserve">du </w:t>
      </w:r>
      <w:r>
        <w:tab/>
        <w:t xml:space="preserve">lien </w:t>
      </w:r>
      <w:hyperlink r:id="rId77">
        <w:r>
          <w:rPr>
            <w:color w:val="0563C1"/>
            <w:u w:val="single" w:color="0563C1"/>
          </w:rPr>
          <w:t>https://www.economie.gouv.fr/daj/formulaires</w:t>
        </w:r>
      </w:hyperlink>
      <w:hyperlink r:id="rId78">
        <w:r>
          <w:rPr>
            <w:color w:val="0563C1"/>
            <w:u w:val="single" w:color="0563C1"/>
          </w:rPr>
          <w:t>-</w:t>
        </w:r>
      </w:hyperlink>
      <w:hyperlink r:id="rId79">
        <w:r>
          <w:rPr>
            <w:color w:val="0563C1"/>
            <w:u w:val="single" w:color="0563C1"/>
          </w:rPr>
          <w:t>declaration</w:t>
        </w:r>
      </w:hyperlink>
      <w:hyperlink r:id="rId80">
        <w:r>
          <w:rPr>
            <w:color w:val="0563C1"/>
            <w:u w:val="single" w:color="0563C1"/>
          </w:rPr>
          <w:t>-</w:t>
        </w:r>
      </w:hyperlink>
      <w:hyperlink r:id="rId81">
        <w:r>
          <w:rPr>
            <w:color w:val="0563C1"/>
            <w:u w:val="single" w:color="0563C1"/>
          </w:rPr>
          <w:t>du</w:t>
        </w:r>
      </w:hyperlink>
      <w:hyperlink r:id="rId82">
        <w:r>
          <w:rPr>
            <w:color w:val="0563C1"/>
            <w:u w:val="single" w:color="0563C1"/>
          </w:rPr>
          <w:t>-</w:t>
        </w:r>
      </w:hyperlink>
      <w:hyperlink r:id="rId83">
        <w:r>
          <w:rPr>
            <w:color w:val="0563C1"/>
            <w:u w:val="single" w:color="0563C1"/>
          </w:rPr>
          <w:t>candidat</w:t>
        </w:r>
      </w:hyperlink>
      <w:hyperlink r:id="rId84">
        <w:r>
          <w:t>)</w:t>
        </w:r>
      </w:hyperlink>
      <w:r>
        <w:t xml:space="preserve"> ou équivalent, dûment rempli, et daté. Dans le cas d'un groupement d'opérateurs économiques, le formulaire DC1 sera complété pour chaque membre du groupement ;</w:t>
      </w:r>
    </w:p>
    <w:p w:rsidR="00C76715" w:rsidRDefault="00944E09">
      <w:pPr>
        <w:numPr>
          <w:ilvl w:val="0"/>
          <w:numId w:val="11"/>
        </w:numPr>
        <w:ind w:left="284" w:right="520" w:hanging="284"/>
      </w:pPr>
      <w:r>
        <w:t xml:space="preserve">la déclaration du candidat ou formulaire DC2 (téléchargeable à partir du lien </w:t>
      </w:r>
      <w:hyperlink r:id="rId85">
        <w:r>
          <w:rPr>
            <w:color w:val="0563C1"/>
            <w:u w:val="single" w:color="0563C1"/>
          </w:rPr>
          <w:t>https://www.economie.gouv.fr/daj/formulaires</w:t>
        </w:r>
      </w:hyperlink>
      <w:hyperlink r:id="rId86">
        <w:r>
          <w:rPr>
            <w:color w:val="0563C1"/>
            <w:u w:val="single" w:color="0563C1"/>
          </w:rPr>
          <w:t>-</w:t>
        </w:r>
      </w:hyperlink>
      <w:hyperlink r:id="rId87">
        <w:r>
          <w:rPr>
            <w:color w:val="0563C1"/>
            <w:u w:val="single" w:color="0563C1"/>
          </w:rPr>
          <w:t>declaration</w:t>
        </w:r>
      </w:hyperlink>
      <w:hyperlink r:id="rId88">
        <w:r>
          <w:rPr>
            <w:color w:val="0563C1"/>
            <w:u w:val="single" w:color="0563C1"/>
          </w:rPr>
          <w:t>-</w:t>
        </w:r>
      </w:hyperlink>
      <w:hyperlink r:id="rId89">
        <w:r>
          <w:rPr>
            <w:color w:val="0563C1"/>
            <w:u w:val="single" w:color="0563C1"/>
          </w:rPr>
          <w:t>du</w:t>
        </w:r>
      </w:hyperlink>
      <w:hyperlink r:id="rId90">
        <w:r>
          <w:rPr>
            <w:color w:val="0563C1"/>
            <w:u w:val="single" w:color="0563C1"/>
          </w:rPr>
          <w:t>-</w:t>
        </w:r>
      </w:hyperlink>
      <w:hyperlink r:id="rId91">
        <w:r>
          <w:rPr>
            <w:color w:val="0563C1"/>
            <w:u w:val="single" w:color="0563C1"/>
          </w:rPr>
          <w:t>candidat</w:t>
        </w:r>
      </w:hyperlink>
      <w:hyperlink r:id="rId92">
        <w:r>
          <w:t>)</w:t>
        </w:r>
      </w:hyperlink>
      <w:r>
        <w:t>, ou équivalent, dûment rempli et daté ; en cas de candidature groupée, le DC2 est rempli par chaque membre du groupement.</w:t>
      </w:r>
    </w:p>
    <w:p w:rsidR="00C76715" w:rsidRDefault="00944E09">
      <w:pPr>
        <w:spacing w:after="142"/>
        <w:ind w:left="0" w:right="520" w:firstLine="0"/>
      </w:pPr>
      <w:r>
        <w:t xml:space="preserve">Dans le cas d'un groupement d'opérateurs économiques, les candidats transmettent les renseignements suivants des formulaires DC1 et DC2 : </w:t>
      </w:r>
    </w:p>
    <w:p w:rsidR="00C76715" w:rsidRDefault="00944E09">
      <w:pPr>
        <w:numPr>
          <w:ilvl w:val="0"/>
          <w:numId w:val="11"/>
        </w:numPr>
        <w:spacing w:after="77" w:line="388" w:lineRule="auto"/>
        <w:ind w:left="284" w:right="520" w:hanging="284"/>
      </w:pPr>
      <w:r>
        <w:t>le formulaire DC1 sera complété pour chaque membre du groupement ;</w:t>
      </w:r>
    </w:p>
    <w:p w:rsidR="00C76715" w:rsidRDefault="00944E09">
      <w:pPr>
        <w:numPr>
          <w:ilvl w:val="0"/>
          <w:numId w:val="11"/>
        </w:numPr>
        <w:spacing w:after="77" w:line="388" w:lineRule="auto"/>
        <w:ind w:left="284" w:right="520" w:hanging="284"/>
      </w:pPr>
      <w:r>
        <w:t>le formulaire DC2 est rempli par chaque membre du groupement.</w:t>
      </w:r>
    </w:p>
    <w:p w:rsidR="00C76715" w:rsidRDefault="00944E09">
      <w:pPr>
        <w:pStyle w:val="Titre2"/>
        <w:ind w:left="567" w:hanging="567"/>
      </w:pPr>
      <w:bookmarkStart w:id="24" w:name="_Toc234336715"/>
      <w:r>
        <w:t>Précisions concernant les groupements d’opérateurs économique et les sous-contrats</w:t>
      </w:r>
      <w:bookmarkEnd w:id="24"/>
    </w:p>
    <w:p w:rsidR="00C76715" w:rsidRDefault="00944E09">
      <w:pPr>
        <w:spacing w:after="149"/>
        <w:ind w:left="0" w:right="520" w:firstLine="0"/>
      </w:pPr>
      <w:r>
        <w:t>Un service de bourse à la cotraitance est proposé sur le portail « entreprises » du profil d'acheteur de l'État (Plateforme PLACE) utilisé par les ministères et les établissements publics d'État. Ce service entend faciliter les contacts des entreprises entre elles qui souhaitent répondre à des marchés publics de manière groupée sous la forme d'un groupement d'opérateurs économiques.</w:t>
      </w:r>
    </w:p>
    <w:p w:rsidR="00C76715" w:rsidRDefault="00944E09">
      <w:pPr>
        <w:spacing w:after="44"/>
        <w:ind w:left="0" w:right="520" w:firstLine="0"/>
      </w:pPr>
      <w:r>
        <w:t xml:space="preserve">Des fiches explicatives et le mode d'emploi de ce service sont disponibles aux adresses suivantes : </w:t>
      </w:r>
    </w:p>
    <w:p w:rsidR="00C76715" w:rsidRDefault="00E417DC">
      <w:pPr>
        <w:spacing w:after="122" w:line="266" w:lineRule="auto"/>
        <w:ind w:left="0" w:right="188" w:firstLine="0"/>
        <w:jc w:val="left"/>
      </w:pPr>
      <w:hyperlink r:id="rId93">
        <w:r w:rsidR="00944E09">
          <w:rPr>
            <w:color w:val="0563C1"/>
            <w:u w:val="single" w:color="0563C1"/>
          </w:rPr>
          <w:t>https://www.marches</w:t>
        </w:r>
      </w:hyperlink>
      <w:hyperlink r:id="rId94">
        <w:r w:rsidR="00944E09">
          <w:rPr>
            <w:color w:val="0563C1"/>
            <w:u w:val="single" w:color="0563C1"/>
          </w:rPr>
          <w:t>-</w:t>
        </w:r>
      </w:hyperlink>
      <w:hyperlink r:id="rId95">
        <w:r w:rsidR="00944E09">
          <w:rPr>
            <w:color w:val="0563C1"/>
            <w:u w:val="single" w:color="0563C1"/>
          </w:rPr>
          <w:t>publics.gouv.fr/docs/outils</w:t>
        </w:r>
      </w:hyperlink>
      <w:hyperlink r:id="rId96">
        <w:r w:rsidR="00944E09">
          <w:rPr>
            <w:color w:val="0563C1"/>
            <w:u w:val="single" w:color="0563C1"/>
          </w:rPr>
          <w:t>-</w:t>
        </w:r>
      </w:hyperlink>
      <w:hyperlink r:id="rId97">
        <w:r w:rsidR="00944E09">
          <w:rPr>
            <w:color w:val="0563C1"/>
            <w:u w:val="single" w:color="0563C1"/>
          </w:rPr>
          <w:t>esr</w:t>
        </w:r>
      </w:hyperlink>
      <w:hyperlink r:id="rId98">
        <w:r w:rsidR="00944E09">
          <w:rPr>
            <w:color w:val="0563C1"/>
            <w:u w:val="single" w:color="0563C1"/>
          </w:rPr>
          <w:t>2</w:t>
        </w:r>
      </w:hyperlink>
      <w:hyperlink r:id="rId99">
        <w:r w:rsidR="00944E09">
          <w:rPr>
            <w:color w:val="0563C1"/>
            <w:u w:val="single" w:color="0563C1"/>
          </w:rPr>
          <w:t>017/place/Bourse_cotraitance_mode_emploi6.pdf</w:t>
        </w:r>
      </w:hyperlink>
      <w:hyperlink r:id="rId100">
        <w:r w:rsidR="00944E09">
          <w:t>.</w:t>
        </w:r>
      </w:hyperlink>
      <w:r w:rsidR="00944E09">
        <w:t xml:space="preserve"> </w:t>
      </w:r>
    </w:p>
    <w:p w:rsidR="00C76715" w:rsidRDefault="00E417DC">
      <w:pPr>
        <w:spacing w:after="122" w:line="266" w:lineRule="auto"/>
        <w:ind w:left="0" w:right="188" w:firstLine="0"/>
        <w:jc w:val="left"/>
      </w:pPr>
      <w:hyperlink r:id="rId101">
        <w:r w:rsidR="00944E09">
          <w:rPr>
            <w:color w:val="0563C1"/>
            <w:u w:val="single" w:color="0563C1"/>
          </w:rPr>
          <w:t>https://www.economie.gouv.fr/dae/bourse</w:t>
        </w:r>
      </w:hyperlink>
      <w:hyperlink r:id="rId102">
        <w:r w:rsidR="00944E09">
          <w:rPr>
            <w:color w:val="0563C1"/>
            <w:u w:val="single" w:color="0563C1"/>
          </w:rPr>
          <w:t>-</w:t>
        </w:r>
      </w:hyperlink>
      <w:hyperlink r:id="rId103">
        <w:r w:rsidR="00944E09">
          <w:rPr>
            <w:color w:val="0563C1"/>
            <w:u w:val="single" w:color="0563C1"/>
          </w:rPr>
          <w:t>a</w:t>
        </w:r>
      </w:hyperlink>
      <w:hyperlink r:id="rId104">
        <w:r w:rsidR="00944E09">
          <w:rPr>
            <w:color w:val="0563C1"/>
            <w:u w:val="single" w:color="0563C1"/>
          </w:rPr>
          <w:t>-</w:t>
        </w:r>
      </w:hyperlink>
      <w:hyperlink r:id="rId105">
        <w:r w:rsidR="00944E09">
          <w:rPr>
            <w:color w:val="0563C1"/>
            <w:u w:val="single" w:color="0563C1"/>
          </w:rPr>
          <w:t>cotraitance</w:t>
        </w:r>
      </w:hyperlink>
      <w:hyperlink r:id="rId106">
        <w:r w:rsidR="00944E09">
          <w:rPr>
            <w:color w:val="0563C1"/>
            <w:u w:val="single" w:color="0563C1"/>
          </w:rPr>
          <w:t>-</w:t>
        </w:r>
      </w:hyperlink>
      <w:hyperlink r:id="rId107">
        <w:r w:rsidR="00944E09">
          <w:rPr>
            <w:color w:val="0563C1"/>
            <w:u w:val="single" w:color="0563C1"/>
          </w:rPr>
          <w:t>service</w:t>
        </w:r>
      </w:hyperlink>
      <w:hyperlink r:id="rId108">
        <w:r w:rsidR="00944E09">
          <w:rPr>
            <w:color w:val="0563C1"/>
            <w:u w:val="single" w:color="0563C1"/>
          </w:rPr>
          <w:t>-</w:t>
        </w:r>
      </w:hyperlink>
      <w:hyperlink r:id="rId109">
        <w:r w:rsidR="00944E09">
          <w:rPr>
            <w:color w:val="0563C1"/>
            <w:u w:val="single" w:color="0563C1"/>
          </w:rPr>
          <w:t>pour</w:t>
        </w:r>
      </w:hyperlink>
      <w:hyperlink r:id="rId110">
        <w:r w:rsidR="00944E09">
          <w:rPr>
            <w:color w:val="0563C1"/>
            <w:u w:val="single" w:color="0563C1"/>
          </w:rPr>
          <w:t>-</w:t>
        </w:r>
      </w:hyperlink>
      <w:hyperlink r:id="rId111">
        <w:r w:rsidR="00944E09">
          <w:rPr>
            <w:color w:val="0563C1"/>
            <w:u w:val="single" w:color="0563C1"/>
          </w:rPr>
          <w:t>aider</w:t>
        </w:r>
      </w:hyperlink>
      <w:hyperlink r:id="rId112">
        <w:r w:rsidR="00944E09">
          <w:rPr>
            <w:color w:val="0563C1"/>
            <w:u w:val="single" w:color="0563C1"/>
          </w:rPr>
          <w:t>-</w:t>
        </w:r>
      </w:hyperlink>
      <w:hyperlink r:id="rId113">
        <w:r w:rsidR="00944E09">
          <w:rPr>
            <w:color w:val="0563C1"/>
            <w:u w:val="single" w:color="0563C1"/>
          </w:rPr>
          <w:t>entreprises</w:t>
        </w:r>
      </w:hyperlink>
      <w:hyperlink r:id="rId114">
        <w:r w:rsidR="00944E09">
          <w:t>.</w:t>
        </w:r>
      </w:hyperlink>
    </w:p>
    <w:p w:rsidR="00C76715" w:rsidRDefault="00944E09">
      <w:pPr>
        <w:ind w:left="0" w:right="520" w:firstLine="0"/>
      </w:pPr>
      <w:r>
        <w:t>La forme du groupement n'est pas imposée au stade de la procédure de passation.</w:t>
      </w:r>
    </w:p>
    <w:p w:rsidR="00C76715" w:rsidRDefault="00944E09">
      <w:pPr>
        <w:ind w:left="0" w:right="520" w:firstLine="0"/>
      </w:pPr>
      <w:r>
        <w:t>En cas de groupement conjoint, le mandataire est solidaire pour l'exécution du marché de chacun des membres du groupement pour ses obligations contractuelles à l'égard de l'acheteur.</w:t>
      </w:r>
    </w:p>
    <w:p w:rsidR="00C76715" w:rsidRDefault="00944E09">
      <w:pPr>
        <w:spacing w:after="226"/>
        <w:ind w:left="0" w:right="520" w:firstLine="0"/>
      </w:pPr>
      <w:r>
        <w:lastRenderedPageBreak/>
        <w:t xml:space="preserve">La présentation d'un sous-traitant se fait à l'aide de l'imprimé DC 4 (Déclaration de sous-traitance) dûment rempli par le sous-traitant et le candidat, comportant l'indication des capacités professionnelles, techniques et financières du sous-traitant ainsi que la déclaration sur l'honneur que le sous-traitant ne se trouve pas sous le coup d'une interdiction d'accéder aux marchés publics. Le formulaire DC4 est disponible à l'adresse suivante : </w:t>
      </w:r>
      <w:hyperlink r:id="rId115">
        <w:r>
          <w:rPr>
            <w:color w:val="0563C1"/>
            <w:u w:val="single" w:color="0563C1"/>
          </w:rPr>
          <w:t>https://www.economie.gouv.fr/daj/formulaires</w:t>
        </w:r>
      </w:hyperlink>
      <w:hyperlink r:id="rId116">
        <w:r>
          <w:rPr>
            <w:color w:val="0563C1"/>
            <w:u w:val="single" w:color="0563C1"/>
          </w:rPr>
          <w:t>mi  se</w:t>
        </w:r>
      </w:hyperlink>
      <w:hyperlink r:id="rId117">
        <w:r>
          <w:rPr>
            <w:color w:val="0563C1"/>
            <w:u w:val="single" w:color="0563C1"/>
          </w:rPr>
          <w:t>-</w:t>
        </w:r>
      </w:hyperlink>
      <w:hyperlink r:id="rId118">
        <w:r>
          <w:rPr>
            <w:color w:val="0563C1"/>
            <w:u w:val="single" w:color="0563C1"/>
          </w:rPr>
          <w:t>a</w:t>
        </w:r>
      </w:hyperlink>
      <w:hyperlink r:id="rId119">
        <w:r>
          <w:rPr>
            <w:color w:val="0563C1"/>
            <w:u w:val="single" w:color="0563C1"/>
          </w:rPr>
          <w:t>-</w:t>
        </w:r>
      </w:hyperlink>
      <w:hyperlink r:id="rId120">
        <w:r>
          <w:rPr>
            <w:color w:val="0563C1"/>
            <w:u w:val="single" w:color="0563C1"/>
          </w:rPr>
          <w:t>jour</w:t>
        </w:r>
      </w:hyperlink>
      <w:hyperlink r:id="rId121">
        <w:r>
          <w:rPr>
            <w:color w:val="0563C1"/>
            <w:u w:val="single" w:color="0563C1"/>
          </w:rPr>
          <w:t>-</w:t>
        </w:r>
      </w:hyperlink>
      <w:hyperlink r:id="rId122">
        <w:r>
          <w:rPr>
            <w:color w:val="0563C1"/>
            <w:u w:val="single" w:color="0563C1"/>
          </w:rPr>
          <w:t>formulaire</w:t>
        </w:r>
      </w:hyperlink>
      <w:hyperlink r:id="rId123">
        <w:r>
          <w:rPr>
            <w:color w:val="0563C1"/>
            <w:u w:val="single" w:color="0563C1"/>
          </w:rPr>
          <w:t>-</w:t>
        </w:r>
      </w:hyperlink>
      <w:hyperlink r:id="rId124">
        <w:r>
          <w:rPr>
            <w:color w:val="0563C1"/>
            <w:u w:val="single" w:color="0563C1"/>
          </w:rPr>
          <w:t>declaration</w:t>
        </w:r>
      </w:hyperlink>
      <w:hyperlink r:id="rId125">
        <w:r>
          <w:rPr>
            <w:color w:val="0563C1"/>
            <w:u w:val="single" w:color="0563C1"/>
          </w:rPr>
          <w:t>-</w:t>
        </w:r>
      </w:hyperlink>
      <w:hyperlink r:id="rId126">
        <w:r>
          <w:rPr>
            <w:color w:val="0563C1"/>
            <w:u w:val="single" w:color="0563C1"/>
          </w:rPr>
          <w:t>sous</w:t>
        </w:r>
      </w:hyperlink>
      <w:hyperlink r:id="rId127">
        <w:r>
          <w:rPr>
            <w:color w:val="0563C1"/>
            <w:u w:val="single" w:color="0563C1"/>
          </w:rPr>
          <w:t>-</w:t>
        </w:r>
      </w:hyperlink>
      <w:hyperlink r:id="rId128">
        <w:r>
          <w:rPr>
            <w:color w:val="0563C1"/>
            <w:u w:val="single" w:color="0563C1"/>
          </w:rPr>
          <w:t>traitance</w:t>
        </w:r>
      </w:hyperlink>
      <w:hyperlink r:id="rId129">
        <w:r>
          <w:rPr>
            <w:color w:val="0563C1"/>
            <w:u w:val="single" w:color="0563C1"/>
          </w:rPr>
          <w:t>-</w:t>
        </w:r>
      </w:hyperlink>
      <w:hyperlink r:id="rId130">
        <w:r>
          <w:rPr>
            <w:color w:val="0563C1"/>
            <w:u w:val="single" w:color="0563C1"/>
          </w:rPr>
          <w:t>dans</w:t>
        </w:r>
      </w:hyperlink>
      <w:hyperlink r:id="rId131">
        <w:r>
          <w:rPr>
            <w:color w:val="0563C1"/>
            <w:u w:val="single" w:color="0563C1"/>
          </w:rPr>
          <w:t>-</w:t>
        </w:r>
      </w:hyperlink>
      <w:hyperlink r:id="rId132">
        <w:r>
          <w:rPr>
            <w:color w:val="0563C1"/>
            <w:u w:val="single" w:color="0563C1"/>
          </w:rPr>
          <w:t>marches</w:t>
        </w:r>
      </w:hyperlink>
      <w:hyperlink r:id="rId133">
        <w:r>
          <w:rPr>
            <w:color w:val="0563C1"/>
            <w:u w:val="single" w:color="0563C1"/>
          </w:rPr>
          <w:t>-</w:t>
        </w:r>
      </w:hyperlink>
      <w:hyperlink r:id="rId134">
        <w:r>
          <w:rPr>
            <w:color w:val="0563C1"/>
            <w:u w:val="single" w:color="0563C1"/>
          </w:rPr>
          <w:t>publics</w:t>
        </w:r>
      </w:hyperlink>
      <w:hyperlink r:id="rId135">
        <w:r>
          <w:t>.</w:t>
        </w:r>
      </w:hyperlink>
    </w:p>
    <w:p w:rsidR="00C76715" w:rsidRDefault="00944E09">
      <w:pPr>
        <w:pStyle w:val="Titre2"/>
        <w:ind w:left="567" w:hanging="567"/>
      </w:pPr>
      <w:bookmarkStart w:id="25" w:name="_Toc234336716"/>
      <w:r>
        <w:t>Conditions de Participation</w:t>
      </w:r>
      <w:bookmarkEnd w:id="25"/>
    </w:p>
    <w:p w:rsidR="00C76715" w:rsidRDefault="00944E09">
      <w:pPr>
        <w:spacing w:after="240" w:line="240" w:lineRule="auto"/>
        <w:ind w:left="0" w:firstLine="0"/>
        <w:rPr>
          <w:rFonts w:eastAsiaTheme="minorHAnsi"/>
          <w:color w:val="auto"/>
          <w:lang w:eastAsia="en-US"/>
        </w:rPr>
      </w:pPr>
      <w:r>
        <w:rPr>
          <w:rFonts w:eastAsiaTheme="minorHAnsi"/>
          <w:color w:val="auto"/>
          <w:lang w:eastAsia="en-US"/>
        </w:rPr>
        <w:t xml:space="preserve">En application des dispositions de l'article </w:t>
      </w:r>
      <w:hyperlink r:id="rId136">
        <w:r>
          <w:rPr>
            <w:rFonts w:eastAsiaTheme="minorHAnsi"/>
            <w:color w:val="0563C1" w:themeColor="hyperlink"/>
            <w:u w:val="single"/>
            <w:lang w:eastAsia="en-US"/>
          </w:rPr>
          <w:t>L.2342-1</w:t>
        </w:r>
      </w:hyperlink>
      <w:r>
        <w:rPr>
          <w:rFonts w:eastAsiaTheme="minorHAnsi"/>
          <w:color w:val="auto"/>
          <w:lang w:eastAsia="en-US"/>
        </w:rPr>
        <w:t xml:space="preserve"> du Code de la commande publique, les candidats devront disposer des moyens techniques, humains et financiers suffisants au regard de l'importance des travaux à réaliser. Ces moyens minimaux sont indiqués ci-dessous.</w:t>
      </w:r>
    </w:p>
    <w:tbl>
      <w:tblPr>
        <w:tblStyle w:val="Grilledutableau"/>
        <w:tblW w:w="9967" w:type="dxa"/>
        <w:tblLayout w:type="fixed"/>
        <w:tblLook w:val="04A0" w:firstRow="1" w:lastRow="0" w:firstColumn="1" w:lastColumn="0" w:noHBand="0" w:noVBand="1"/>
      </w:tblPr>
      <w:tblGrid>
        <w:gridCol w:w="2972"/>
        <w:gridCol w:w="6995"/>
      </w:tblGrid>
      <w:tr w:rsidR="00C76715">
        <w:tc>
          <w:tcPr>
            <w:tcW w:w="2972" w:type="dxa"/>
            <w:vAlign w:val="center"/>
          </w:tcPr>
          <w:p w:rsidR="00C76715" w:rsidRDefault="00944E09">
            <w:pPr>
              <w:widowControl w:val="0"/>
              <w:spacing w:before="80" w:after="80" w:line="240" w:lineRule="auto"/>
              <w:ind w:left="0" w:firstLine="0"/>
              <w:textAlignment w:val="baseline"/>
              <w:rPr>
                <w:rFonts w:eastAsiaTheme="minorHAnsi" w:cstheme="minorBidi"/>
                <w:color w:val="auto"/>
                <w:lang w:eastAsia="en-US"/>
              </w:rPr>
            </w:pPr>
            <w:r>
              <w:rPr>
                <w:rFonts w:eastAsiaTheme="minorHAnsi" w:cstheme="minorBidi"/>
                <w:color w:val="auto"/>
                <w:kern w:val="2"/>
                <w:lang w:eastAsia="en-US"/>
              </w:rPr>
              <w:t xml:space="preserve">Appréciation des capacités économique et financière : </w:t>
            </w:r>
          </w:p>
        </w:tc>
        <w:tc>
          <w:tcPr>
            <w:tcW w:w="6994" w:type="dxa"/>
          </w:tcPr>
          <w:p w:rsidR="00C76715" w:rsidRDefault="00944E09">
            <w:pPr>
              <w:widowControl w:val="0"/>
              <w:spacing w:before="80" w:after="80" w:line="240" w:lineRule="auto"/>
              <w:ind w:left="0" w:firstLine="0"/>
              <w:textAlignment w:val="baseline"/>
              <w:rPr>
                <w:rFonts w:eastAsiaTheme="minorHAnsi" w:cstheme="minorBidi"/>
                <w:color w:val="auto"/>
                <w:lang w:eastAsia="en-US"/>
              </w:rPr>
            </w:pPr>
            <w:r>
              <w:rPr>
                <w:rFonts w:eastAsiaTheme="minorHAnsi" w:cstheme="minorBidi"/>
                <w:color w:val="auto"/>
                <w:kern w:val="2"/>
                <w:lang w:eastAsia="en-US"/>
              </w:rPr>
              <w:t>Les capacités économique et financière sont appréciées au regard de la déclaration concernant le chiffre d'affaires global et, le cas échéant, le chiffre d'affaires du domaine d'activité faisant l'objet du marché public, portant sur les trois derniers exercices.</w:t>
            </w:r>
          </w:p>
          <w:p w:rsidR="00C76715" w:rsidRDefault="00944E09">
            <w:pPr>
              <w:widowControl w:val="0"/>
              <w:spacing w:before="120" w:after="0" w:line="240" w:lineRule="auto"/>
              <w:ind w:left="0" w:firstLine="0"/>
              <w:textAlignment w:val="baseline"/>
              <w:rPr>
                <w:rFonts w:eastAsiaTheme="minorHAnsi" w:cstheme="minorBidi"/>
                <w:b/>
                <w:color w:val="auto"/>
                <w:lang w:eastAsia="en-US"/>
              </w:rPr>
            </w:pPr>
            <w:r>
              <w:rPr>
                <w:rFonts w:eastAsiaTheme="minorHAnsi" w:cstheme="minorBidi"/>
                <w:b/>
                <w:color w:val="auto"/>
                <w:kern w:val="2"/>
                <w:lang w:eastAsia="en-US"/>
              </w:rPr>
              <w:t>L'acheteur impose aux candidats un niveau minimum de capacité financière.</w:t>
            </w:r>
          </w:p>
          <w:p w:rsidR="00C76715" w:rsidRDefault="00944E09">
            <w:pPr>
              <w:widowControl w:val="0"/>
              <w:spacing w:before="120" w:after="0" w:line="240" w:lineRule="auto"/>
              <w:ind w:left="0" w:firstLine="0"/>
              <w:textAlignment w:val="baseline"/>
              <w:rPr>
                <w:rFonts w:eastAsiaTheme="minorHAnsi" w:cstheme="minorBidi"/>
                <w:color w:val="auto"/>
                <w:lang w:eastAsia="en-US"/>
              </w:rPr>
            </w:pPr>
            <w:r>
              <w:rPr>
                <w:rFonts w:eastAsiaTheme="minorHAnsi" w:cstheme="minorBidi"/>
                <w:color w:val="auto"/>
                <w:kern w:val="2"/>
                <w:lang w:eastAsia="en-US"/>
              </w:rPr>
              <w:t xml:space="preserve">En application des dispositions de l’article </w:t>
            </w:r>
            <w:hyperlink r:id="rId137">
              <w:r>
                <w:rPr>
                  <w:rFonts w:eastAsiaTheme="minorHAnsi" w:cstheme="minorBidi"/>
                  <w:color w:val="0563C1" w:themeColor="hyperlink"/>
                  <w:kern w:val="2"/>
                  <w:u w:val="single"/>
                  <w:lang w:eastAsia="en-US"/>
                </w:rPr>
                <w:t>R.2342-2</w:t>
              </w:r>
            </w:hyperlink>
            <w:r>
              <w:rPr>
                <w:rFonts w:eastAsiaTheme="minorHAnsi" w:cstheme="minorBidi"/>
                <w:color w:val="auto"/>
                <w:kern w:val="2"/>
                <w:lang w:eastAsia="en-US"/>
              </w:rPr>
              <w:t xml:space="preserve"> du CCP, est exigé un chiffre d’affaires annuel minimal égal à :</w:t>
            </w:r>
          </w:p>
          <w:p w:rsidR="00C76715" w:rsidRDefault="00944E09">
            <w:pPr>
              <w:pStyle w:val="Paragraphedeliste"/>
              <w:widowControl w:val="0"/>
              <w:numPr>
                <w:ilvl w:val="0"/>
                <w:numId w:val="11"/>
              </w:numPr>
              <w:spacing w:before="120" w:after="0" w:line="240" w:lineRule="auto"/>
              <w:ind w:left="346"/>
              <w:contextualSpacing w:val="0"/>
              <w:textAlignment w:val="baseline"/>
              <w:rPr>
                <w:rFonts w:ascii="Arial" w:eastAsiaTheme="minorHAnsi" w:hAnsi="Arial" w:cs="Arial"/>
              </w:rPr>
            </w:pPr>
            <w:r>
              <w:rPr>
                <w:rFonts w:ascii="Arial" w:eastAsiaTheme="minorHAnsi" w:hAnsi="Arial" w:cs="Arial"/>
              </w:rPr>
              <w:t xml:space="preserve">Lot n°1 : </w:t>
            </w:r>
            <w:r>
              <w:rPr>
                <w:rFonts w:ascii="Arial" w:eastAsiaTheme="minorHAnsi" w:hAnsi="Arial" w:cs="Arial"/>
              </w:rPr>
              <w:tab/>
              <w:t>5 250 000 € HT ;</w:t>
            </w:r>
          </w:p>
          <w:p w:rsidR="00C76715" w:rsidRDefault="00944E09">
            <w:pPr>
              <w:pStyle w:val="Paragraphedeliste"/>
              <w:widowControl w:val="0"/>
              <w:numPr>
                <w:ilvl w:val="0"/>
                <w:numId w:val="11"/>
              </w:numPr>
              <w:spacing w:before="120" w:after="0" w:line="240" w:lineRule="auto"/>
              <w:ind w:left="346"/>
              <w:contextualSpacing w:val="0"/>
              <w:textAlignment w:val="baseline"/>
              <w:rPr>
                <w:rFonts w:ascii="Arial" w:eastAsiaTheme="minorHAnsi" w:hAnsi="Arial" w:cs="Arial"/>
              </w:rPr>
            </w:pPr>
            <w:r>
              <w:rPr>
                <w:rFonts w:ascii="Arial" w:eastAsiaTheme="minorHAnsi" w:hAnsi="Arial" w:cs="Arial"/>
              </w:rPr>
              <w:t xml:space="preserve">Lot n°2 : </w:t>
            </w:r>
            <w:r>
              <w:rPr>
                <w:rFonts w:ascii="Arial" w:eastAsiaTheme="minorHAnsi" w:hAnsi="Arial" w:cs="Arial"/>
              </w:rPr>
              <w:tab/>
              <w:t xml:space="preserve">   300 000 € HT.</w:t>
            </w:r>
          </w:p>
          <w:p w:rsidR="00C76715" w:rsidRDefault="00944E09">
            <w:pPr>
              <w:widowControl w:val="0"/>
              <w:spacing w:before="120" w:after="0" w:line="240" w:lineRule="auto"/>
              <w:ind w:left="0" w:firstLine="0"/>
              <w:textAlignment w:val="baseline"/>
              <w:rPr>
                <w:rFonts w:eastAsiaTheme="minorHAnsi" w:cstheme="minorBidi"/>
                <w:color w:val="auto"/>
                <w:lang w:eastAsia="en-US"/>
              </w:rPr>
            </w:pPr>
            <w:r>
              <w:rPr>
                <w:rFonts w:eastAsiaTheme="minorHAnsi" w:cstheme="minorBidi"/>
                <w:color w:val="auto"/>
                <w:kern w:val="2"/>
                <w:lang w:eastAsia="en-US"/>
              </w:rPr>
              <w:t>En cas de groupement, l’atteinte du niveau minimal est appréciée au regard de la somme des chiffres d’affaires des  cotraitants.</w:t>
            </w:r>
          </w:p>
        </w:tc>
      </w:tr>
      <w:tr w:rsidR="00C76715">
        <w:tc>
          <w:tcPr>
            <w:tcW w:w="2972" w:type="dxa"/>
            <w:vAlign w:val="center"/>
          </w:tcPr>
          <w:p w:rsidR="00C76715" w:rsidRDefault="00944E09">
            <w:pPr>
              <w:widowControl w:val="0"/>
              <w:spacing w:before="80" w:after="80" w:line="240" w:lineRule="auto"/>
              <w:ind w:left="0" w:firstLine="0"/>
              <w:textAlignment w:val="baseline"/>
              <w:rPr>
                <w:rFonts w:eastAsiaTheme="minorHAnsi" w:cstheme="minorBidi"/>
                <w:color w:val="auto"/>
                <w:lang w:eastAsia="en-US"/>
              </w:rPr>
            </w:pPr>
            <w:r>
              <w:rPr>
                <w:rFonts w:eastAsiaTheme="minorHAnsi" w:cstheme="minorBidi"/>
                <w:color w:val="auto"/>
                <w:kern w:val="2"/>
                <w:lang w:eastAsia="en-US"/>
              </w:rPr>
              <w:t xml:space="preserve">Appréciation des garanties professionnelles : </w:t>
            </w:r>
          </w:p>
        </w:tc>
        <w:tc>
          <w:tcPr>
            <w:tcW w:w="6994" w:type="dxa"/>
          </w:tcPr>
          <w:p w:rsidR="00C76715" w:rsidRDefault="00944E09">
            <w:pPr>
              <w:widowControl w:val="0"/>
              <w:spacing w:before="80" w:after="80" w:line="240" w:lineRule="auto"/>
              <w:ind w:left="0" w:firstLine="0"/>
              <w:textAlignment w:val="baseline"/>
              <w:rPr>
                <w:rFonts w:eastAsiaTheme="minorHAnsi" w:cstheme="minorBidi"/>
                <w:color w:val="auto"/>
                <w:lang w:eastAsia="en-US"/>
              </w:rPr>
            </w:pPr>
            <w:r>
              <w:rPr>
                <w:rFonts w:eastAsiaTheme="minorHAnsi" w:cstheme="minorBidi"/>
                <w:color w:val="auto"/>
                <w:kern w:val="2"/>
                <w:lang w:eastAsia="en-US"/>
              </w:rPr>
              <w:t>Les garanties professionnelles sont appréciées au vu des références pour des prestations similaires dans le domaine d'application du présent marché, réalisées au cours des cinq dernières années.</w:t>
            </w:r>
          </w:p>
        </w:tc>
      </w:tr>
      <w:tr w:rsidR="00C76715">
        <w:trPr>
          <w:trHeight w:val="553"/>
        </w:trPr>
        <w:tc>
          <w:tcPr>
            <w:tcW w:w="2972" w:type="dxa"/>
            <w:vAlign w:val="center"/>
          </w:tcPr>
          <w:p w:rsidR="00C76715" w:rsidRDefault="00944E09">
            <w:pPr>
              <w:widowControl w:val="0"/>
              <w:spacing w:before="80" w:after="80" w:line="240" w:lineRule="auto"/>
              <w:ind w:left="0" w:firstLine="0"/>
              <w:textAlignment w:val="baseline"/>
              <w:rPr>
                <w:rFonts w:eastAsiaTheme="minorHAnsi" w:cstheme="minorBidi"/>
                <w:color w:val="auto"/>
                <w:lang w:eastAsia="en-US"/>
              </w:rPr>
            </w:pPr>
            <w:r>
              <w:rPr>
                <w:rFonts w:eastAsiaTheme="minorHAnsi" w:cstheme="minorBidi"/>
                <w:color w:val="auto"/>
                <w:kern w:val="2"/>
                <w:lang w:eastAsia="en-US"/>
              </w:rPr>
              <w:t xml:space="preserve">Appréciation des garanties techniques : </w:t>
            </w:r>
          </w:p>
        </w:tc>
        <w:tc>
          <w:tcPr>
            <w:tcW w:w="6994" w:type="dxa"/>
          </w:tcPr>
          <w:p w:rsidR="00C76715" w:rsidRDefault="00944E09">
            <w:pPr>
              <w:widowControl w:val="0"/>
              <w:spacing w:before="80" w:after="80" w:line="240" w:lineRule="auto"/>
              <w:ind w:left="0" w:firstLine="0"/>
              <w:textAlignment w:val="baseline"/>
              <w:rPr>
                <w:rFonts w:eastAsiaTheme="minorHAnsi" w:cstheme="minorBidi"/>
                <w:color w:val="auto"/>
                <w:u w:val="single"/>
                <w:lang w:eastAsia="en-US"/>
              </w:rPr>
            </w:pPr>
            <w:r>
              <w:rPr>
                <w:rFonts w:eastAsiaTheme="minorHAnsi" w:cstheme="minorBidi"/>
                <w:color w:val="auto"/>
                <w:kern w:val="2"/>
                <w:lang w:eastAsia="en-US"/>
              </w:rPr>
              <w:t>Les garanties techniques seront appréciées au vu de l'expérience, des compétences (qualifications) et des moyens (humains, matériels) du candidat.</w:t>
            </w:r>
          </w:p>
          <w:p w:rsidR="00C76715" w:rsidRDefault="00944E09">
            <w:pPr>
              <w:widowControl w:val="0"/>
              <w:spacing w:before="120" w:after="0" w:line="240" w:lineRule="auto"/>
              <w:ind w:left="0" w:firstLine="0"/>
              <w:textAlignment w:val="baseline"/>
              <w:rPr>
                <w:rFonts w:eastAsiaTheme="minorHAnsi" w:cstheme="minorBidi"/>
                <w:color w:val="auto"/>
                <w:lang w:eastAsia="en-US"/>
              </w:rPr>
            </w:pPr>
            <w:r>
              <w:rPr>
                <w:rFonts w:eastAsiaTheme="minorHAnsi" w:cstheme="minorBidi"/>
                <w:color w:val="auto"/>
                <w:kern w:val="2"/>
                <w:lang w:eastAsia="en-US"/>
              </w:rPr>
              <w:t xml:space="preserve">Les qualifications minimales requises pour le lot 1 sont : </w:t>
            </w:r>
          </w:p>
          <w:p w:rsidR="00C76715" w:rsidRDefault="00944E09">
            <w:pPr>
              <w:pStyle w:val="Paragraphedeliste"/>
              <w:widowControl w:val="0"/>
              <w:numPr>
                <w:ilvl w:val="0"/>
                <w:numId w:val="11"/>
              </w:numPr>
              <w:spacing w:before="60" w:after="0" w:line="240" w:lineRule="auto"/>
              <w:textAlignment w:val="baseline"/>
              <w:rPr>
                <w:rFonts w:ascii="Arial" w:eastAsiaTheme="minorHAnsi" w:hAnsi="Arial" w:cs="Arial"/>
              </w:rPr>
            </w:pPr>
            <w:r>
              <w:rPr>
                <w:rFonts w:ascii="Arial" w:eastAsiaTheme="minorHAnsi" w:hAnsi="Arial" w:cs="Arial"/>
              </w:rPr>
              <w:t>certificat de qualification de soudeur: EN 287-1 ou EN 9606-1 ou équivalent ;</w:t>
            </w:r>
          </w:p>
          <w:p w:rsidR="00C76715" w:rsidRDefault="00944E09">
            <w:pPr>
              <w:pStyle w:val="Paragraphedeliste"/>
              <w:widowControl w:val="0"/>
              <w:numPr>
                <w:ilvl w:val="0"/>
                <w:numId w:val="11"/>
              </w:numPr>
              <w:spacing w:before="60" w:after="0" w:line="240" w:lineRule="auto"/>
              <w:textAlignment w:val="baseline"/>
              <w:rPr>
                <w:rFonts w:eastAsiaTheme="minorHAnsi" w:cstheme="minorBidi"/>
                <w:u w:val="single"/>
              </w:rPr>
            </w:pPr>
            <w:r>
              <w:rPr>
                <w:rFonts w:ascii="Arial" w:eastAsiaTheme="minorHAnsi" w:hAnsi="Arial" w:cs="Arial"/>
              </w:rPr>
              <w:t>procès-verbal de qualification: EN 15614-1 (mode opératoire de soudage).</w:t>
            </w:r>
          </w:p>
        </w:tc>
      </w:tr>
    </w:tbl>
    <w:p w:rsidR="00C76715" w:rsidRDefault="00C76715">
      <w:pPr>
        <w:ind w:left="0" w:firstLine="0"/>
      </w:pPr>
    </w:p>
    <w:p w:rsidR="00C76715" w:rsidRDefault="00944E09">
      <w:pPr>
        <w:spacing w:before="120" w:after="0" w:line="240" w:lineRule="auto"/>
        <w:ind w:left="0" w:firstLine="0"/>
        <w:rPr>
          <w:rFonts w:eastAsiaTheme="minorHAnsi"/>
          <w:color w:val="auto"/>
          <w:lang w:eastAsia="ja-JP" w:bidi="fa-IR"/>
        </w:rPr>
      </w:pPr>
      <w:r>
        <w:rPr>
          <w:rFonts w:eastAsiaTheme="minorHAnsi"/>
          <w:bCs/>
          <w:color w:val="auto"/>
          <w:lang w:eastAsia="ja-JP" w:bidi="fa-IR"/>
        </w:rPr>
        <w:t>Les candidatures des entreprises qui ne justifient pas des niveaux techniques spécifiques minimums exigés sont rejetées. Au moins un personnel de l’équipe du soumissionnaire doit présenter les qualifications évoquées au présent article.</w:t>
      </w:r>
    </w:p>
    <w:p w:rsidR="00C76715" w:rsidRDefault="00944E09">
      <w:pPr>
        <w:pStyle w:val="Titre2"/>
        <w:ind w:left="567" w:hanging="567"/>
        <w:rPr>
          <w:lang w:eastAsia="ja-JP" w:bidi="fa-IR"/>
        </w:rPr>
      </w:pPr>
      <w:bookmarkStart w:id="26" w:name="_Toc234336717"/>
      <w:r>
        <w:rPr>
          <w:lang w:eastAsia="ja-JP" w:bidi="fa-IR"/>
        </w:rPr>
        <w:t>Examen des candidatures</w:t>
      </w:r>
      <w:bookmarkEnd w:id="26"/>
    </w:p>
    <w:p w:rsidR="00C76715" w:rsidRDefault="00C76715">
      <w:pPr>
        <w:ind w:left="0" w:firstLine="0"/>
        <w:rPr>
          <w:lang w:eastAsia="ja-JP" w:bidi="fa-IR"/>
        </w:rPr>
      </w:pPr>
    </w:p>
    <w:p w:rsidR="00C76715" w:rsidRDefault="00944E09">
      <w:pPr>
        <w:ind w:left="0" w:firstLine="0"/>
        <w:rPr>
          <w:lang w:eastAsia="ja-JP" w:bidi="fa-IR"/>
        </w:rPr>
      </w:pPr>
      <w:r>
        <w:rPr>
          <w:lang w:eastAsia="ja-JP" w:bidi="fa-IR"/>
        </w:rPr>
        <w:t>Si l’acheteur constate, avant de procéder à l’examen des candidatures, que des pièces ou informations dont la production était réclamée sont absentes ou incomplètes, il peut demander aux candidats concernés de compléter leur dossier de candidature dans un délai identique pour tous.</w:t>
      </w:r>
    </w:p>
    <w:p w:rsidR="00C76715" w:rsidRDefault="00944E09">
      <w:pPr>
        <w:ind w:left="0" w:firstLine="0"/>
        <w:rPr>
          <w:lang w:eastAsia="ja-JP" w:bidi="fa-IR"/>
        </w:rPr>
      </w:pPr>
      <w:r>
        <w:rPr>
          <w:lang w:eastAsia="ja-JP" w:bidi="fa-IR"/>
        </w:rPr>
        <w:lastRenderedPageBreak/>
        <w:t>Ce délai est précisé avec la demande de complément.</w:t>
      </w:r>
    </w:p>
    <w:p w:rsidR="00C76715" w:rsidRDefault="00944E09">
      <w:pPr>
        <w:ind w:left="0" w:firstLine="0"/>
        <w:rPr>
          <w:lang w:eastAsia="ja-JP" w:bidi="fa-IR"/>
        </w:rPr>
      </w:pPr>
      <w:r>
        <w:rPr>
          <w:lang w:eastAsia="ja-JP" w:bidi="fa-IR"/>
        </w:rPr>
        <w:t>Les candidatures incomplètes ou demeurées incomplètes à la suite d’une demande de compléments sont éliminées.</w:t>
      </w:r>
    </w:p>
    <w:p w:rsidR="00C76715" w:rsidRDefault="00944E09">
      <w:pPr>
        <w:ind w:left="0" w:firstLine="0"/>
        <w:rPr>
          <w:lang w:eastAsia="ja-JP" w:bidi="fa-IR"/>
        </w:rPr>
      </w:pPr>
      <w:r>
        <w:rPr>
          <w:lang w:eastAsia="ja-JP" w:bidi="fa-IR"/>
        </w:rPr>
        <w:t>L’acheteur a fixé des minimums de capacité comme conditions de participation : les candidatures qui ne justifient pas de l’aptitude professionnelle ou qui ne disposent manifestement pas de capacités professionnelles, techniques ou financières suffisantes demandées pour cette consultation sont éliminées.</w:t>
      </w:r>
    </w:p>
    <w:p w:rsidR="00C76715" w:rsidRDefault="00944E09">
      <w:pPr>
        <w:pStyle w:val="Titre2"/>
        <w:ind w:left="567" w:hanging="567"/>
        <w:rPr>
          <w:lang w:eastAsia="ja-JP" w:bidi="fa-IR"/>
        </w:rPr>
      </w:pPr>
      <w:r>
        <w:rPr>
          <w:lang w:eastAsia="ja-JP" w:bidi="fa-IR"/>
        </w:rPr>
        <w:t xml:space="preserve"> </w:t>
      </w:r>
      <w:bookmarkStart w:id="27" w:name="_Toc234336718"/>
      <w:r>
        <w:rPr>
          <w:lang w:eastAsia="ja-JP" w:bidi="fa-IR"/>
        </w:rPr>
        <w:t>Vérification des conditions de participation : liste des documents justificatifs des capacités professionnelles, techniques et financières</w:t>
      </w:r>
      <w:bookmarkEnd w:id="27"/>
    </w:p>
    <w:p w:rsidR="00C76715" w:rsidRDefault="00944E09">
      <w:pPr>
        <w:spacing w:before="120" w:after="0" w:line="240" w:lineRule="auto"/>
        <w:ind w:left="0" w:firstLine="0"/>
        <w:rPr>
          <w:rFonts w:eastAsia="Times New Roman" w:cs="Times New Roman"/>
          <w:color w:val="auto"/>
        </w:rPr>
      </w:pPr>
      <w:r>
        <w:rPr>
          <w:rFonts w:eastAsia="Times New Roman" w:cs="Times New Roman"/>
          <w:color w:val="auto"/>
        </w:rPr>
        <w:t>Les candidats ne sont pas tenus de fournir les documents justificatifs lorsque l'acheteur peut les</w:t>
      </w:r>
      <w:r>
        <w:rPr>
          <w:rFonts w:eastAsia="Times New Roman" w:cs="Times New Roman"/>
          <w:color w:val="auto"/>
        </w:rPr>
        <w:br/>
        <w:t xml:space="preserve">obtenir : </w:t>
      </w:r>
    </w:p>
    <w:p w:rsidR="00C76715" w:rsidRDefault="00944E09">
      <w:pPr>
        <w:pStyle w:val="Paragraphedeliste"/>
        <w:numPr>
          <w:ilvl w:val="0"/>
          <w:numId w:val="11"/>
        </w:numPr>
        <w:spacing w:before="60" w:after="0" w:line="240" w:lineRule="auto"/>
        <w:ind w:left="284" w:hanging="284"/>
        <w:rPr>
          <w:rFonts w:ascii="Arial" w:eastAsiaTheme="minorHAnsi" w:hAnsi="Arial" w:cs="Arial"/>
        </w:rPr>
      </w:pPr>
      <w:r>
        <w:rPr>
          <w:rFonts w:ascii="Arial" w:eastAsiaTheme="minorHAnsi" w:hAnsi="Arial" w:cs="Arial"/>
        </w:rPr>
        <w:t>directement par le biais d'un système électronique de mise à disposition d'informations administré par un organisme officiel ;</w:t>
      </w:r>
    </w:p>
    <w:p w:rsidR="00C76715" w:rsidRDefault="00944E09">
      <w:pPr>
        <w:pStyle w:val="Paragraphedeliste"/>
        <w:numPr>
          <w:ilvl w:val="0"/>
          <w:numId w:val="11"/>
        </w:numPr>
        <w:spacing w:before="60" w:after="0" w:line="240" w:lineRule="auto"/>
        <w:ind w:left="284" w:hanging="284"/>
        <w:rPr>
          <w:rFonts w:ascii="Arial" w:eastAsiaTheme="minorHAnsi" w:hAnsi="Arial" w:cs="Arial"/>
        </w:rPr>
      </w:pPr>
      <w:r>
        <w:rPr>
          <w:rFonts w:ascii="Arial" w:eastAsiaTheme="minorHAnsi" w:hAnsi="Arial" w:cs="Arial"/>
        </w:rPr>
        <w:t>d'un espace de stockage numérique, à condition que figurent dans son dossier de candidature toutes les informations nécessaires à la consultation de ce système ou de cet espace et que l'accès soit gratuit.</w:t>
      </w:r>
    </w:p>
    <w:p w:rsidR="00C76715" w:rsidRDefault="00944E09">
      <w:pPr>
        <w:spacing w:before="120" w:after="0" w:line="240" w:lineRule="auto"/>
        <w:ind w:left="0" w:firstLine="0"/>
        <w:rPr>
          <w:rFonts w:eastAsia="Times New Roman" w:cs="Times New Roman"/>
          <w:color w:val="auto"/>
        </w:rPr>
      </w:pPr>
      <w:r>
        <w:rPr>
          <w:rFonts w:eastAsia="Times New Roman" w:cs="Times New Roman"/>
          <w:color w:val="auto"/>
        </w:rPr>
        <w:t>Le candidat n'est pas tenu de fournir les documents justificatifs déjà transmis à l'acheteur dans le cadre d'une précédente consultation et qui demeurent valables. Dans ce cas, il indique les moyens de preuves concernés ainsi que la référence de la ou des consultations pour la ou lesquelles ces moyens de preuve ont déjà été transmis.</w:t>
      </w:r>
    </w:p>
    <w:p w:rsidR="00C76715" w:rsidRDefault="00944E09">
      <w:pPr>
        <w:spacing w:before="120" w:after="0" w:line="240" w:lineRule="auto"/>
        <w:ind w:left="0" w:firstLine="0"/>
        <w:rPr>
          <w:rFonts w:eastAsia="Times New Roman" w:cs="Times New Roman"/>
          <w:b/>
          <w:color w:val="auto"/>
          <w:u w:val="single"/>
        </w:rPr>
      </w:pPr>
      <w:r>
        <w:rPr>
          <w:rFonts w:eastAsia="Times New Roman" w:cs="Times New Roman"/>
          <w:b/>
          <w:color w:val="auto"/>
          <w:u w:val="single"/>
        </w:rPr>
        <w:t xml:space="preserve">Les documents à transmettre à l’appui de la candidature permettant l’analyse des capacités professionnelles, techniques et financières : </w:t>
      </w:r>
    </w:p>
    <w:p w:rsidR="00C76715" w:rsidRDefault="00C76715">
      <w:pPr>
        <w:spacing w:before="120" w:after="0" w:line="240" w:lineRule="auto"/>
        <w:ind w:left="0" w:firstLine="0"/>
        <w:rPr>
          <w:rFonts w:eastAsia="Times New Roman" w:cs="Times New Roman"/>
          <w:b/>
          <w:color w:val="auto"/>
          <w:u w:val="single"/>
          <w:lang w:bidi="fa-IR"/>
        </w:rPr>
      </w:pPr>
    </w:p>
    <w:p w:rsidR="00C76715" w:rsidRDefault="00944E09">
      <w:pPr>
        <w:numPr>
          <w:ilvl w:val="0"/>
          <w:numId w:val="13"/>
        </w:numPr>
        <w:spacing w:before="60" w:after="0" w:line="240" w:lineRule="auto"/>
        <w:ind w:hanging="348"/>
        <w:rPr>
          <w:rFonts w:eastAsiaTheme="minorHAnsi"/>
          <w:b/>
          <w:color w:val="auto"/>
          <w:kern w:val="2"/>
          <w:lang w:eastAsia="en-US" w:bidi="fa-IR"/>
        </w:rPr>
      </w:pPr>
      <w:r>
        <w:rPr>
          <w:rFonts w:eastAsiaTheme="minorHAnsi"/>
          <w:b/>
          <w:color w:val="auto"/>
          <w:kern w:val="2"/>
          <w:lang w:eastAsia="en-US" w:bidi="fa-IR"/>
        </w:rPr>
        <w:t>Présentation de</w:t>
      </w:r>
      <w:r>
        <w:rPr>
          <w:rFonts w:eastAsiaTheme="minorHAnsi"/>
          <w:color w:val="auto"/>
          <w:kern w:val="2"/>
          <w:lang w:eastAsia="en-US" w:bidi="fa-IR"/>
        </w:rPr>
        <w:t xml:space="preserve"> </w:t>
      </w:r>
      <w:r>
        <w:rPr>
          <w:rFonts w:eastAsiaTheme="minorHAnsi"/>
          <w:b/>
          <w:color w:val="auto"/>
          <w:kern w:val="2"/>
          <w:lang w:eastAsia="en-US" w:bidi="fa-IR"/>
        </w:rPr>
        <w:t xml:space="preserve">candidature et déclaration des moyens humains – techniques – financiers -  </w:t>
      </w:r>
      <w:r>
        <w:rPr>
          <w:rFonts w:eastAsiaTheme="minorHAnsi"/>
          <w:color w:val="auto"/>
          <w:kern w:val="2"/>
          <w:lang w:eastAsia="en-US" w:bidi="fa-IR"/>
        </w:rPr>
        <w:t>sous forme de</w:t>
      </w:r>
      <w:r>
        <w:rPr>
          <w:rFonts w:eastAsiaTheme="minorHAnsi"/>
          <w:b/>
          <w:color w:val="auto"/>
          <w:kern w:val="2"/>
          <w:lang w:eastAsia="en-US" w:bidi="fa-IR"/>
        </w:rPr>
        <w:t> :</w:t>
      </w:r>
    </w:p>
    <w:p w:rsidR="00C76715" w:rsidRDefault="00944E09">
      <w:pPr>
        <w:numPr>
          <w:ilvl w:val="0"/>
          <w:numId w:val="16"/>
        </w:numPr>
        <w:spacing w:after="200" w:line="276" w:lineRule="auto"/>
        <w:ind w:left="1134"/>
        <w:contextualSpacing/>
        <w:jc w:val="left"/>
        <w:rPr>
          <w:rFonts w:eastAsiaTheme="minorHAnsi"/>
          <w:color w:val="auto"/>
          <w:kern w:val="2"/>
          <w:lang w:eastAsia="en-US" w:bidi="fa-IR"/>
        </w:rPr>
      </w:pPr>
      <w:r>
        <w:rPr>
          <w:rFonts w:eastAsiaTheme="minorHAnsi"/>
          <w:b/>
          <w:color w:val="auto"/>
          <w:kern w:val="2"/>
          <w:lang w:eastAsia="en-US" w:bidi="fa-IR"/>
        </w:rPr>
        <w:t>DUME</w:t>
      </w:r>
      <w:r>
        <w:rPr>
          <w:rFonts w:eastAsiaTheme="minorHAnsi"/>
          <w:color w:val="auto"/>
          <w:kern w:val="2"/>
          <w:lang w:eastAsia="en-US" w:bidi="fa-IR"/>
        </w:rPr>
        <w:t xml:space="preserve"> validé au format xml</w:t>
      </w:r>
    </w:p>
    <w:p w:rsidR="00C76715" w:rsidRDefault="00944E09">
      <w:pPr>
        <w:spacing w:after="200" w:line="276" w:lineRule="auto"/>
        <w:ind w:left="851" w:firstLine="0"/>
        <w:contextualSpacing/>
        <w:jc w:val="left"/>
        <w:rPr>
          <w:rFonts w:ascii="Calibri" w:eastAsia="Calibri" w:hAnsi="Calibri" w:cstheme="minorBidi"/>
          <w:color w:val="auto"/>
          <w:kern w:val="2"/>
          <w:lang w:eastAsia="en-US" w:bidi="fa-IR"/>
        </w:rPr>
      </w:pPr>
      <w:r>
        <w:rPr>
          <w:rFonts w:eastAsia="Calibri"/>
          <w:color w:val="auto"/>
          <w:kern w:val="2"/>
          <w:lang w:eastAsia="en-US" w:bidi="fa-IR"/>
        </w:rPr>
        <w:t>ou</w:t>
      </w:r>
    </w:p>
    <w:p w:rsidR="00C76715" w:rsidRDefault="00944E09">
      <w:pPr>
        <w:numPr>
          <w:ilvl w:val="0"/>
          <w:numId w:val="15"/>
        </w:numPr>
        <w:spacing w:after="0" w:line="240" w:lineRule="auto"/>
        <w:ind w:left="1134"/>
        <w:contextualSpacing/>
        <w:jc w:val="left"/>
        <w:rPr>
          <w:rFonts w:ascii="Calibri" w:eastAsiaTheme="minorHAnsi" w:hAnsi="Calibri" w:cs="Times New Roman"/>
          <w:color w:val="auto"/>
          <w:kern w:val="2"/>
          <w:lang w:eastAsia="en-US" w:bidi="fa-IR"/>
        </w:rPr>
      </w:pPr>
      <w:r>
        <w:rPr>
          <w:rFonts w:ascii="Calibri" w:eastAsiaTheme="minorHAnsi" w:hAnsi="Calibri"/>
          <w:b/>
          <w:color w:val="auto"/>
          <w:kern w:val="2"/>
          <w:lang w:eastAsia="en-US" w:bidi="fa-IR"/>
        </w:rPr>
        <w:t>l’annexe 1</w:t>
      </w:r>
      <w:r>
        <w:rPr>
          <w:rFonts w:ascii="Calibri" w:eastAsiaTheme="minorHAnsi" w:hAnsi="Calibri" w:cs="Times New Roman"/>
          <w:b/>
          <w:color w:val="auto"/>
          <w:kern w:val="2"/>
          <w:lang w:eastAsia="en-US" w:bidi="fa-IR"/>
        </w:rPr>
        <w:t xml:space="preserve"> du présent règlement de la consultation (RC)</w:t>
      </w:r>
      <w:r>
        <w:rPr>
          <w:rFonts w:ascii="Calibri" w:eastAsiaTheme="minorHAnsi" w:hAnsi="Calibri"/>
          <w:color w:val="auto"/>
          <w:kern w:val="2"/>
          <w:lang w:eastAsia="en-US" w:bidi="fa-IR"/>
        </w:rPr>
        <w:t xml:space="preserve"> une lettre de candidature ou le formulaire </w:t>
      </w:r>
      <w:r>
        <w:rPr>
          <w:rFonts w:ascii="Calibri" w:eastAsiaTheme="minorHAnsi" w:hAnsi="Calibri" w:cs="Times New Roman"/>
          <w:color w:val="auto"/>
          <w:kern w:val="2"/>
          <w:lang w:eastAsia="en-US" w:bidi="fa-IR"/>
        </w:rPr>
        <w:t>DC1</w:t>
      </w:r>
      <w:r>
        <w:rPr>
          <w:rFonts w:ascii="Calibri" w:eastAsiaTheme="minorHAnsi" w:hAnsi="Calibri"/>
          <w:color w:val="auto"/>
          <w:kern w:val="2"/>
          <w:lang w:eastAsia="en-US" w:bidi="fa-IR"/>
        </w:rPr>
        <w:t xml:space="preserve"> ;</w:t>
      </w:r>
    </w:p>
    <w:p w:rsidR="00C76715" w:rsidRDefault="00944E09">
      <w:pPr>
        <w:pStyle w:val="Paragraphedeliste"/>
        <w:numPr>
          <w:ilvl w:val="1"/>
          <w:numId w:val="15"/>
        </w:numPr>
        <w:spacing w:after="0"/>
        <w:rPr>
          <w:rFonts w:cstheme="minorBidi"/>
          <w:lang w:bidi="fa-IR"/>
        </w:rPr>
      </w:pPr>
      <w:r>
        <w:rPr>
          <w:rFonts w:cstheme="minorBidi"/>
          <w:lang w:bidi="fa-IR"/>
        </w:rPr>
        <w:t>et</w:t>
      </w:r>
    </w:p>
    <w:p w:rsidR="00C76715" w:rsidRDefault="00944E09">
      <w:pPr>
        <w:numPr>
          <w:ilvl w:val="0"/>
          <w:numId w:val="15"/>
        </w:numPr>
        <w:spacing w:after="200" w:line="276" w:lineRule="auto"/>
        <w:ind w:left="1134"/>
        <w:contextualSpacing/>
        <w:jc w:val="left"/>
        <w:rPr>
          <w:rFonts w:eastAsia="Calibri" w:cs="Times New Roman"/>
          <w:color w:val="auto"/>
          <w:kern w:val="2"/>
          <w:lang w:eastAsia="en-US" w:bidi="fa-IR"/>
        </w:rPr>
      </w:pPr>
      <w:r>
        <w:rPr>
          <w:rFonts w:eastAsia="Calibri" w:cs="Times New Roman"/>
          <w:b/>
          <w:color w:val="auto"/>
          <w:kern w:val="2"/>
          <w:lang w:eastAsia="en-US" w:bidi="fa-IR"/>
        </w:rPr>
        <w:t>l’annexe 2 du RC</w:t>
      </w:r>
      <w:r>
        <w:rPr>
          <w:rFonts w:eastAsia="Calibri" w:cs="Times New Roman"/>
          <w:color w:val="auto"/>
          <w:kern w:val="2"/>
          <w:lang w:eastAsia="en-US" w:bidi="fa-IR"/>
        </w:rPr>
        <w:t xml:space="preserve"> une déclaration concernant le chiffre d’affaires réalisé au cours des trois (3) derniers exercices (formulaire </w:t>
      </w:r>
      <w:r>
        <w:rPr>
          <w:rFonts w:eastAsia="Calibri" w:cs="Times New Roman"/>
          <w:b/>
          <w:color w:val="auto"/>
          <w:kern w:val="2"/>
          <w:lang w:eastAsia="en-US" w:bidi="fa-IR"/>
        </w:rPr>
        <w:t>DC2</w:t>
      </w:r>
      <w:r>
        <w:rPr>
          <w:rFonts w:eastAsia="Calibri" w:cs="Times New Roman"/>
          <w:color w:val="auto"/>
          <w:kern w:val="2"/>
          <w:lang w:eastAsia="en-US" w:bidi="fa-IR"/>
        </w:rPr>
        <w:t>) ;</w:t>
      </w:r>
    </w:p>
    <w:p w:rsidR="00C76715" w:rsidRDefault="00944E09">
      <w:pPr>
        <w:numPr>
          <w:ilvl w:val="0"/>
          <w:numId w:val="13"/>
        </w:numPr>
        <w:spacing w:before="60" w:after="0" w:line="240" w:lineRule="auto"/>
        <w:ind w:hanging="348"/>
        <w:rPr>
          <w:rFonts w:eastAsiaTheme="minorHAnsi"/>
          <w:color w:val="auto"/>
          <w:kern w:val="2"/>
          <w:lang w:eastAsia="en-US" w:bidi="fa-IR"/>
        </w:rPr>
      </w:pPr>
      <w:r>
        <w:rPr>
          <w:rFonts w:eastAsiaTheme="minorHAnsi"/>
          <w:color w:val="auto"/>
          <w:kern w:val="2"/>
          <w:lang w:eastAsia="en-US" w:bidi="fa-IR"/>
        </w:rPr>
        <w:t>en cas de sous-contractance, la déclaration de sous-traitance (DC4 ou équivalent) signée par le sous-contractant et le soumissionnaire, les renseignements relatifs aux capacités du sous-contractant lorsque le soumissionnaire s'appuie sur celles-ci ; et si elle ne figure pas au sein du DC4, une déclaration sur l’honneur du sous- contractant indiquant qu’il ne se trouve pas dans une situation l’interdisant de soumissionner ;</w:t>
      </w:r>
    </w:p>
    <w:p w:rsidR="00C76715" w:rsidRDefault="00944E09">
      <w:pPr>
        <w:numPr>
          <w:ilvl w:val="0"/>
          <w:numId w:val="13"/>
        </w:numPr>
        <w:spacing w:before="60" w:after="0" w:line="240" w:lineRule="auto"/>
        <w:ind w:hanging="348"/>
        <w:rPr>
          <w:rFonts w:eastAsiaTheme="minorHAnsi"/>
          <w:color w:val="auto"/>
          <w:kern w:val="2"/>
          <w:lang w:eastAsia="en-US" w:bidi="fa-IR"/>
        </w:rPr>
      </w:pPr>
      <w:r>
        <w:rPr>
          <w:rFonts w:eastAsiaTheme="minorHAnsi"/>
          <w:b/>
          <w:color w:val="auto"/>
          <w:kern w:val="2"/>
          <w:lang w:eastAsia="en-US" w:bidi="fa-IR"/>
        </w:rPr>
        <w:t xml:space="preserve">l’annexe 3 du RC </w:t>
      </w:r>
      <w:r>
        <w:rPr>
          <w:rFonts w:eastAsiaTheme="minorHAnsi"/>
          <w:color w:val="auto"/>
          <w:kern w:val="2"/>
          <w:lang w:eastAsia="en-US" w:bidi="fa-IR"/>
        </w:rPr>
        <w:t xml:space="preserve">à compléter : </w:t>
      </w:r>
      <w:r>
        <w:rPr>
          <w:rFonts w:eastAsiaTheme="minorHAnsi"/>
          <w:b/>
          <w:color w:val="auto"/>
          <w:kern w:val="2"/>
          <w:lang w:eastAsia="en-US" w:bidi="fa-IR"/>
        </w:rPr>
        <w:t>indicateurs financiers </w:t>
      </w:r>
      <w:r>
        <w:rPr>
          <w:rFonts w:eastAsiaTheme="minorHAnsi"/>
          <w:color w:val="auto"/>
          <w:kern w:val="2"/>
          <w:lang w:eastAsia="en-US" w:bidi="fa-IR"/>
        </w:rPr>
        <w:t>;</w:t>
      </w:r>
    </w:p>
    <w:p w:rsidR="00C76715" w:rsidRDefault="00944E09">
      <w:pPr>
        <w:numPr>
          <w:ilvl w:val="0"/>
          <w:numId w:val="13"/>
        </w:numPr>
        <w:spacing w:before="60" w:after="0" w:line="240" w:lineRule="auto"/>
        <w:ind w:hanging="348"/>
        <w:rPr>
          <w:rFonts w:eastAsiaTheme="minorHAnsi"/>
          <w:color w:val="auto"/>
          <w:kern w:val="2"/>
          <w:lang w:eastAsia="en-US" w:bidi="fa-IR"/>
        </w:rPr>
      </w:pPr>
      <w:r>
        <w:rPr>
          <w:rFonts w:eastAsiaTheme="minorHAnsi"/>
          <w:b/>
          <w:color w:val="auto"/>
          <w:kern w:val="2"/>
          <w:lang w:eastAsia="en-US" w:bidi="fa-IR"/>
        </w:rPr>
        <w:t>l’annexe 4 du RC : courriels et points de contacts</w:t>
      </w:r>
      <w:r>
        <w:rPr>
          <w:rFonts w:eastAsiaTheme="minorHAnsi"/>
          <w:color w:val="auto"/>
          <w:kern w:val="2"/>
          <w:lang w:eastAsia="en-US" w:bidi="fa-IR"/>
        </w:rPr>
        <w:t xml:space="preserve"> à renseigner sur les onglets 1 (préparation de l’organisation des visites en vue de la phase offre) et onglet n°2 concernant les notifications en cours de procédure et d’exécution du marché ;</w:t>
      </w:r>
    </w:p>
    <w:p w:rsidR="00C76715" w:rsidRDefault="00944E09">
      <w:pPr>
        <w:numPr>
          <w:ilvl w:val="0"/>
          <w:numId w:val="13"/>
        </w:numPr>
        <w:spacing w:before="60" w:after="0" w:line="240" w:lineRule="auto"/>
        <w:ind w:hanging="348"/>
        <w:rPr>
          <w:rFonts w:eastAsiaTheme="minorHAnsi"/>
          <w:b/>
          <w:color w:val="auto"/>
          <w:kern w:val="2"/>
          <w:lang w:eastAsia="en-US" w:bidi="fa-IR"/>
        </w:rPr>
      </w:pPr>
      <w:r>
        <w:rPr>
          <w:rFonts w:eastAsiaTheme="minorHAnsi"/>
          <w:b/>
          <w:color w:val="auto"/>
          <w:kern w:val="2"/>
          <w:lang w:eastAsia="en-US" w:bidi="fa-IR"/>
        </w:rPr>
        <w:t>l’annexe 5 du RC : accord de confidentialité ;</w:t>
      </w:r>
    </w:p>
    <w:p w:rsidR="00C76715" w:rsidRDefault="00944E09">
      <w:pPr>
        <w:numPr>
          <w:ilvl w:val="0"/>
          <w:numId w:val="13"/>
        </w:numPr>
        <w:spacing w:before="60" w:after="0" w:line="240" w:lineRule="auto"/>
        <w:ind w:hanging="348"/>
        <w:rPr>
          <w:rFonts w:eastAsiaTheme="minorHAnsi"/>
          <w:b/>
          <w:color w:val="auto"/>
          <w:kern w:val="2"/>
          <w:lang w:eastAsia="en-US" w:bidi="fa-IR"/>
        </w:rPr>
      </w:pPr>
      <w:r>
        <w:rPr>
          <w:rFonts w:eastAsiaTheme="minorHAnsi"/>
          <w:b/>
          <w:color w:val="auto"/>
          <w:kern w:val="2"/>
          <w:lang w:eastAsia="en-US" w:bidi="fa-IR"/>
        </w:rPr>
        <w:t xml:space="preserve">l’annexe 6 du RC : </w:t>
      </w:r>
      <w:r>
        <w:rPr>
          <w:rFonts w:eastAsiaTheme="minorHAnsi"/>
          <w:color w:val="auto"/>
          <w:kern w:val="2"/>
          <w:lang w:eastAsia="en-US" w:bidi="fa-IR"/>
        </w:rPr>
        <w:t>cadre de réponse -</w:t>
      </w:r>
      <w:r>
        <w:rPr>
          <w:rFonts w:eastAsiaTheme="minorHAnsi"/>
          <w:b/>
          <w:color w:val="auto"/>
          <w:kern w:val="2"/>
          <w:lang w:eastAsia="en-US" w:bidi="fa-IR"/>
        </w:rPr>
        <w:t xml:space="preserve"> _Procédure électronique ;</w:t>
      </w:r>
    </w:p>
    <w:p w:rsidR="00C76715" w:rsidRDefault="00944E09">
      <w:pPr>
        <w:numPr>
          <w:ilvl w:val="0"/>
          <w:numId w:val="13"/>
        </w:numPr>
        <w:spacing w:before="60" w:after="0" w:line="240" w:lineRule="auto"/>
        <w:ind w:hanging="348"/>
        <w:rPr>
          <w:rFonts w:eastAsiaTheme="minorHAnsi"/>
          <w:color w:val="auto"/>
          <w:kern w:val="2"/>
          <w:lang w:eastAsia="en-US" w:bidi="fa-IR"/>
        </w:rPr>
      </w:pPr>
      <w:r>
        <w:rPr>
          <w:rFonts w:eastAsiaTheme="minorHAnsi"/>
          <w:b/>
          <w:color w:val="auto"/>
          <w:kern w:val="2"/>
          <w:lang w:eastAsia="en-US" w:bidi="fa-IR"/>
        </w:rPr>
        <w:t xml:space="preserve">l’annexe 7 du RC </w:t>
      </w:r>
      <w:r>
        <w:rPr>
          <w:rFonts w:eastAsiaTheme="minorHAnsi"/>
          <w:color w:val="auto"/>
          <w:kern w:val="2"/>
          <w:lang w:eastAsia="en-US" w:bidi="fa-IR"/>
        </w:rPr>
        <w:t>à compléter</w:t>
      </w:r>
      <w:r>
        <w:rPr>
          <w:rFonts w:eastAsiaTheme="minorHAnsi"/>
          <w:b/>
          <w:color w:val="auto"/>
          <w:kern w:val="2"/>
          <w:lang w:eastAsia="en-US" w:bidi="fa-IR"/>
        </w:rPr>
        <w:t> : renseignements complémentaires – congés - PME</w:t>
      </w:r>
      <w:r>
        <w:rPr>
          <w:rFonts w:eastAsiaTheme="minorHAnsi"/>
          <w:color w:val="auto"/>
          <w:kern w:val="2"/>
          <w:lang w:eastAsia="en-US" w:bidi="fa-IR"/>
        </w:rPr>
        <w:t> ;</w:t>
      </w:r>
    </w:p>
    <w:p w:rsidR="00C76715" w:rsidRDefault="00944E09">
      <w:pPr>
        <w:numPr>
          <w:ilvl w:val="0"/>
          <w:numId w:val="13"/>
        </w:numPr>
        <w:spacing w:before="60" w:after="0" w:line="240" w:lineRule="auto"/>
        <w:ind w:hanging="348"/>
        <w:rPr>
          <w:rFonts w:eastAsiaTheme="minorHAnsi"/>
          <w:b/>
          <w:color w:val="auto"/>
          <w:kern w:val="2"/>
          <w:lang w:eastAsia="en-US" w:bidi="fa-IR"/>
        </w:rPr>
      </w:pPr>
      <w:r>
        <w:rPr>
          <w:rFonts w:eastAsiaTheme="minorHAnsi"/>
          <w:b/>
          <w:color w:val="auto"/>
          <w:kern w:val="2"/>
          <w:lang w:eastAsia="en-US" w:bidi="fa-IR"/>
        </w:rPr>
        <w:t>le certificat de qualification de soudeur conformément à l’EN 9606-1, EN 287-1 ou équivalent ;</w:t>
      </w:r>
    </w:p>
    <w:p w:rsidR="00C76715" w:rsidRDefault="00944E09">
      <w:pPr>
        <w:numPr>
          <w:ilvl w:val="0"/>
          <w:numId w:val="13"/>
        </w:numPr>
        <w:spacing w:before="60" w:after="0" w:line="240" w:lineRule="auto"/>
        <w:ind w:hanging="348"/>
        <w:rPr>
          <w:rFonts w:eastAsiaTheme="minorHAnsi"/>
          <w:b/>
          <w:color w:val="auto"/>
          <w:kern w:val="2"/>
          <w:lang w:eastAsia="en-US" w:bidi="fa-IR"/>
        </w:rPr>
      </w:pPr>
      <w:r>
        <w:rPr>
          <w:rFonts w:eastAsiaTheme="minorHAnsi"/>
          <w:b/>
          <w:color w:val="auto"/>
          <w:kern w:val="2"/>
          <w:lang w:eastAsia="en-US" w:bidi="fa-IR"/>
        </w:rPr>
        <w:t xml:space="preserve">le procès-verbal de qualification E2-C2 de Qualifelec </w:t>
      </w:r>
      <w:r>
        <w:rPr>
          <w:rFonts w:eastAsiaTheme="minorHAnsi"/>
          <w:color w:val="auto"/>
          <w:kern w:val="2"/>
          <w:lang w:eastAsia="en-US" w:bidi="fa-IR"/>
        </w:rPr>
        <w:t>ou l’équivalence pour cette qualification ;</w:t>
      </w:r>
    </w:p>
    <w:p w:rsidR="00C76715" w:rsidRDefault="00944E09">
      <w:pPr>
        <w:numPr>
          <w:ilvl w:val="0"/>
          <w:numId w:val="13"/>
        </w:numPr>
        <w:spacing w:before="60" w:after="0" w:line="240" w:lineRule="auto"/>
        <w:ind w:hanging="348"/>
        <w:rPr>
          <w:rFonts w:eastAsiaTheme="minorHAnsi"/>
          <w:color w:val="auto"/>
          <w:kern w:val="2"/>
          <w:lang w:eastAsia="en-US" w:bidi="fa-IR"/>
        </w:rPr>
      </w:pPr>
      <w:r>
        <w:rPr>
          <w:rFonts w:eastAsiaTheme="minorHAnsi"/>
          <w:b/>
          <w:color w:val="auto"/>
          <w:kern w:val="2"/>
          <w:lang w:eastAsia="en-US" w:bidi="fa-IR"/>
        </w:rPr>
        <w:t xml:space="preserve">L’annexe 8 du RC </w:t>
      </w:r>
      <w:r>
        <w:rPr>
          <w:rFonts w:eastAsiaTheme="minorHAnsi"/>
          <w:color w:val="auto"/>
          <w:kern w:val="2"/>
          <w:lang w:eastAsia="en-US" w:bidi="fa-IR"/>
        </w:rPr>
        <w:t>à compléter</w:t>
      </w:r>
      <w:r>
        <w:rPr>
          <w:rFonts w:eastAsiaTheme="minorHAnsi"/>
          <w:b/>
          <w:color w:val="auto"/>
          <w:kern w:val="2"/>
          <w:lang w:eastAsia="en-US" w:bidi="fa-IR"/>
        </w:rPr>
        <w:t> :</w:t>
      </w:r>
      <w:r>
        <w:rPr>
          <w:rFonts w:eastAsiaTheme="minorHAnsi"/>
          <w:color w:val="auto"/>
          <w:kern w:val="2"/>
          <w:lang w:eastAsia="en-US" w:bidi="fa-IR"/>
        </w:rPr>
        <w:t xml:space="preserve"> </w:t>
      </w:r>
      <w:r>
        <w:rPr>
          <w:rFonts w:eastAsiaTheme="minorHAnsi"/>
          <w:b/>
          <w:color w:val="auto"/>
          <w:kern w:val="2"/>
          <w:lang w:eastAsia="en-US" w:bidi="fa-IR"/>
        </w:rPr>
        <w:t xml:space="preserve">présentation d'une liste des principaux travaux effectués au </w:t>
      </w:r>
      <w:r>
        <w:rPr>
          <w:rFonts w:eastAsiaTheme="minorHAnsi"/>
          <w:b/>
          <w:color w:val="auto"/>
          <w:kern w:val="2"/>
          <w:lang w:eastAsia="en-US" w:bidi="fa-IR"/>
        </w:rPr>
        <w:lastRenderedPageBreak/>
        <w:t>cours des cinq dernières années</w:t>
      </w:r>
      <w:r>
        <w:rPr>
          <w:rFonts w:eastAsiaTheme="minorHAnsi"/>
          <w:color w:val="auto"/>
          <w:kern w:val="2"/>
          <w:lang w:eastAsia="en-US" w:bidi="fa-IR"/>
        </w:rPr>
        <w:t>, indiquant le montant, la date et le destinataire public ou privé. Les travaux sont prouvés par des attestations du destinataire ou, à défaut, par une déclaration de l'opérateur économique. Les travaux présentés doivent correspondre au domaine du marché. Les éléments de preuve relatifs à des travaux pertinents fournis il y a plus de cinq ans seront pris en compte ;</w:t>
      </w:r>
    </w:p>
    <w:p w:rsidR="00C76715" w:rsidRDefault="00944E09">
      <w:pPr>
        <w:numPr>
          <w:ilvl w:val="0"/>
          <w:numId w:val="13"/>
        </w:numPr>
        <w:spacing w:before="60" w:after="0" w:line="240" w:lineRule="auto"/>
        <w:ind w:hanging="348"/>
        <w:rPr>
          <w:rFonts w:eastAsiaTheme="minorHAnsi"/>
          <w:color w:val="auto"/>
          <w:kern w:val="2"/>
          <w:lang w:eastAsia="en-US" w:bidi="fa-IR"/>
        </w:rPr>
      </w:pPr>
      <w:r>
        <w:rPr>
          <w:rFonts w:eastAsiaTheme="minorHAnsi"/>
          <w:color w:val="auto"/>
          <w:kern w:val="2"/>
          <w:lang w:eastAsia="en-US" w:bidi="fa-IR"/>
        </w:rPr>
        <w:t>une déclaration indiquant les effectifs moyens annuels du candidat et l'importance du personnel d'encadrement pendant les travaux pour chacune des trois dernières années ;</w:t>
      </w:r>
    </w:p>
    <w:p w:rsidR="00C76715" w:rsidRDefault="00944E09">
      <w:pPr>
        <w:numPr>
          <w:ilvl w:val="0"/>
          <w:numId w:val="13"/>
        </w:numPr>
        <w:spacing w:before="60" w:after="0" w:line="240" w:lineRule="auto"/>
        <w:ind w:hanging="348"/>
        <w:rPr>
          <w:rFonts w:eastAsiaTheme="minorHAnsi"/>
          <w:color w:val="auto"/>
          <w:kern w:val="2"/>
          <w:lang w:eastAsia="en-US" w:bidi="fa-IR"/>
        </w:rPr>
      </w:pPr>
      <w:r>
        <w:rPr>
          <w:rFonts w:eastAsiaTheme="minorHAnsi"/>
          <w:color w:val="auto"/>
          <w:kern w:val="2"/>
          <w:lang w:eastAsia="en-US" w:bidi="fa-IR"/>
        </w:rPr>
        <w:t>la description de l'outillage, du matériel et de l'équipement technique dont le candidat disposera pour la réalisation des travaux ;</w:t>
      </w:r>
    </w:p>
    <w:p w:rsidR="00C76715" w:rsidRDefault="00944E09">
      <w:pPr>
        <w:numPr>
          <w:ilvl w:val="0"/>
          <w:numId w:val="13"/>
        </w:numPr>
        <w:spacing w:before="60" w:after="0" w:line="240" w:lineRule="auto"/>
        <w:ind w:hanging="348"/>
        <w:rPr>
          <w:rFonts w:eastAsiaTheme="minorHAnsi"/>
          <w:color w:val="auto"/>
          <w:kern w:val="2"/>
          <w:lang w:eastAsia="en-US" w:bidi="fa-IR"/>
        </w:rPr>
      </w:pPr>
      <w:r>
        <w:rPr>
          <w:rFonts w:eastAsiaTheme="minorHAnsi"/>
          <w:color w:val="auto"/>
          <w:kern w:val="2"/>
          <w:lang w:eastAsia="en-US" w:bidi="fa-IR"/>
        </w:rPr>
        <w:t>la description de l'équipement technique ainsi que des mesures employées par le candidat pour s'assurer de la qualité et des moyens d'étude et de recherche de son entreprise ;</w:t>
      </w:r>
    </w:p>
    <w:p w:rsidR="00C76715" w:rsidRDefault="00944E09">
      <w:pPr>
        <w:pStyle w:val="Paragraphedeliste"/>
        <w:widowControl w:val="0"/>
        <w:numPr>
          <w:ilvl w:val="0"/>
          <w:numId w:val="13"/>
        </w:numPr>
        <w:spacing w:before="60" w:after="0" w:line="240" w:lineRule="auto"/>
        <w:ind w:hanging="348"/>
        <w:textAlignment w:val="center"/>
        <w:rPr>
          <w:rFonts w:ascii="Arial" w:eastAsiaTheme="minorHAnsi" w:hAnsi="Arial" w:cs="Arial"/>
          <w:lang w:bidi="fa-IR"/>
        </w:rPr>
      </w:pPr>
      <w:r>
        <w:rPr>
          <w:rFonts w:ascii="Arial" w:eastAsiaTheme="minorHAnsi" w:hAnsi="Arial" w:cs="Arial"/>
          <w:lang w:bidi="fa-IR"/>
        </w:rPr>
        <w:t>pour une présentation de la candidature en groupement, la convention de groupement. La convention de groupement signée ne sera exigée qu’au stade de l’offre.</w:t>
      </w:r>
    </w:p>
    <w:p w:rsidR="00C76715" w:rsidRDefault="00C76715">
      <w:pPr>
        <w:widowControl w:val="0"/>
        <w:spacing w:before="60" w:after="0" w:line="240" w:lineRule="auto"/>
        <w:ind w:left="0" w:firstLine="0"/>
        <w:textAlignment w:val="center"/>
        <w:rPr>
          <w:rFonts w:eastAsiaTheme="minorHAnsi"/>
          <w:color w:val="auto"/>
          <w:kern w:val="2"/>
          <w:lang w:eastAsia="en-US" w:bidi="fa-IR"/>
        </w:rPr>
      </w:pPr>
    </w:p>
    <w:p w:rsidR="00C76715" w:rsidRDefault="00944E09">
      <w:pPr>
        <w:widowControl w:val="0"/>
        <w:spacing w:before="60" w:after="0" w:line="240" w:lineRule="auto"/>
        <w:ind w:left="0" w:firstLine="0"/>
        <w:textAlignment w:val="center"/>
        <w:rPr>
          <w:rFonts w:eastAsia="Andale Sans UI" w:cs="Tahoma"/>
          <w:color w:val="auto"/>
          <w:kern w:val="2"/>
          <w:lang w:eastAsia="ja-JP" w:bidi="fa-IR"/>
        </w:rPr>
      </w:pPr>
      <w:r>
        <w:rPr>
          <w:rFonts w:eastAsia="Andale Sans UI" w:cs="Tahoma"/>
          <w:color w:val="auto"/>
          <w:kern w:val="2"/>
          <w:lang w:eastAsia="ja-JP" w:bidi="fa-IR"/>
        </w:rPr>
        <w:t>Si, pour une raison justifiée, le candidat n'est pas en mesure de produire les renseignements et documents demandés par l'acheteur, il est autorisé à prouver sa capacité technique, professionnelle, économique et financière par tout autre moyen considéré comme approprié par l'acheteur.</w:t>
      </w:r>
    </w:p>
    <w:p w:rsidR="00C76715" w:rsidRDefault="00944E09">
      <w:pPr>
        <w:pStyle w:val="Titre3"/>
        <w:spacing w:before="240" w:after="120" w:line="240" w:lineRule="auto"/>
        <w:ind w:left="567" w:hanging="567"/>
        <w:rPr>
          <w:b w:val="0"/>
          <w:lang w:bidi="fa-IR"/>
        </w:rPr>
      </w:pPr>
      <w:r>
        <w:rPr>
          <w:b w:val="0"/>
          <w:lang w:bidi="fa-IR"/>
        </w:rPr>
        <w:t>Candidat établi ou domicilié en France</w:t>
      </w:r>
    </w:p>
    <w:p w:rsidR="00C76715" w:rsidRDefault="00944E09">
      <w:pPr>
        <w:spacing w:before="120" w:after="0" w:line="240" w:lineRule="auto"/>
        <w:ind w:left="0" w:firstLine="0"/>
        <w:rPr>
          <w:rFonts w:eastAsiaTheme="minorHAnsi" w:cstheme="minorBidi"/>
          <w:color w:val="auto"/>
          <w:lang w:eastAsia="en-US"/>
        </w:rPr>
      </w:pPr>
      <w:r>
        <w:rPr>
          <w:rFonts w:eastAsiaTheme="minorHAnsi" w:cstheme="minorBidi"/>
          <w:color w:val="auto"/>
          <w:lang w:eastAsia="en-US"/>
        </w:rPr>
        <w:t xml:space="preserve">Les documents suivants sont requis : </w:t>
      </w:r>
    </w:p>
    <w:p w:rsidR="00C76715" w:rsidRDefault="00944E09">
      <w:pPr>
        <w:pStyle w:val="Paragraphedeliste"/>
        <w:numPr>
          <w:ilvl w:val="0"/>
          <w:numId w:val="11"/>
        </w:numPr>
        <w:spacing w:before="60" w:after="0" w:line="240" w:lineRule="auto"/>
        <w:ind w:left="284" w:hanging="284"/>
        <w:rPr>
          <w:rFonts w:ascii="Arial" w:eastAsiaTheme="minorHAnsi" w:hAnsi="Arial" w:cs="Arial"/>
        </w:rPr>
      </w:pPr>
      <w:r>
        <w:rPr>
          <w:rFonts w:ascii="Arial" w:eastAsiaTheme="minorHAnsi" w:hAnsi="Arial" w:cs="Arial"/>
        </w:rPr>
        <w:t>si l’opérateur économique est en redressement judiciaire, la photocopie du ou des jugements prononcés à cet effet ;</w:t>
      </w:r>
    </w:p>
    <w:p w:rsidR="00C76715" w:rsidRDefault="00944E09">
      <w:pPr>
        <w:pStyle w:val="Paragraphedeliste"/>
        <w:numPr>
          <w:ilvl w:val="0"/>
          <w:numId w:val="11"/>
        </w:numPr>
        <w:spacing w:before="60" w:after="0" w:line="240" w:lineRule="auto"/>
        <w:ind w:left="284" w:hanging="284"/>
        <w:rPr>
          <w:rFonts w:ascii="Arial" w:eastAsiaTheme="minorHAnsi" w:hAnsi="Arial" w:cs="Arial"/>
        </w:rPr>
      </w:pPr>
      <w:r>
        <w:rPr>
          <w:rFonts w:ascii="Arial" w:eastAsiaTheme="minorHAnsi" w:hAnsi="Arial" w:cs="Arial"/>
        </w:rPr>
        <w:t xml:space="preserve">les attestations sociales et fiscales : </w:t>
      </w:r>
    </w:p>
    <w:p w:rsidR="00C76715" w:rsidRDefault="00944E09">
      <w:pPr>
        <w:pStyle w:val="Paragraphedeliste"/>
        <w:numPr>
          <w:ilvl w:val="0"/>
          <w:numId w:val="12"/>
        </w:numPr>
        <w:spacing w:before="60" w:after="0" w:line="240" w:lineRule="auto"/>
        <w:ind w:left="567" w:hanging="283"/>
        <w:rPr>
          <w:rFonts w:ascii="Arial" w:eastAsiaTheme="minorHAnsi" w:hAnsi="Arial" w:cs="Arial"/>
          <w:lang w:bidi="fa-IR"/>
        </w:rPr>
      </w:pPr>
      <w:r>
        <w:rPr>
          <w:rFonts w:ascii="Arial" w:eastAsiaTheme="minorHAnsi" w:hAnsi="Arial" w:cs="Arial"/>
          <w:lang w:bidi="fa-IR"/>
        </w:rPr>
        <w:t>une attestation de vigilance délivrée par l’URSSAF et datée de moins de six (6) mois</w:t>
      </w:r>
      <w:r>
        <w:rPr>
          <w:rStyle w:val="Appelnotedebasdep"/>
          <w:rFonts w:ascii="Arial" w:hAnsi="Arial" w:cs="Arial"/>
          <w:lang w:bidi="fa-IR"/>
        </w:rPr>
        <w:footnoteReference w:id="1"/>
      </w:r>
      <w:r>
        <w:rPr>
          <w:rFonts w:ascii="Arial" w:eastAsiaTheme="minorHAnsi" w:hAnsi="Arial" w:cs="Arial"/>
          <w:lang w:bidi="fa-IR"/>
        </w:rPr>
        <w:t>;</w:t>
      </w:r>
    </w:p>
    <w:p w:rsidR="00C76715" w:rsidRDefault="00944E09">
      <w:pPr>
        <w:pStyle w:val="Paragraphedeliste"/>
        <w:numPr>
          <w:ilvl w:val="0"/>
          <w:numId w:val="12"/>
        </w:numPr>
        <w:spacing w:before="60" w:after="0" w:line="240" w:lineRule="auto"/>
        <w:ind w:left="567" w:hanging="283"/>
        <w:rPr>
          <w:rFonts w:ascii="Arial" w:eastAsiaTheme="minorHAnsi" w:hAnsi="Arial" w:cs="Arial"/>
          <w:lang w:bidi="fa-IR"/>
        </w:rPr>
      </w:pPr>
      <w:r>
        <w:rPr>
          <w:rFonts w:ascii="Arial" w:eastAsiaTheme="minorHAnsi" w:hAnsi="Arial" w:cs="Arial"/>
          <w:lang w:bidi="fa-IR"/>
        </w:rPr>
        <w:t>une attestation de régularité fiscale dont la date d’établissement ne pourra être antérieure à la date à laquelle le pouvoir adjudicateur en a demandé sa production</w:t>
      </w:r>
      <w:r>
        <w:rPr>
          <w:rStyle w:val="Appelnotedebasdep"/>
          <w:rFonts w:ascii="Arial" w:eastAsiaTheme="minorHAnsi" w:hAnsi="Arial" w:cs="Arial"/>
          <w:lang w:bidi="fa-IR"/>
        </w:rPr>
        <w:footnoteReference w:id="2"/>
      </w:r>
      <w:r>
        <w:rPr>
          <w:rFonts w:ascii="Arial" w:eastAsiaTheme="minorHAnsi" w:hAnsi="Arial" w:cs="Arial"/>
          <w:lang w:bidi="fa-IR"/>
        </w:rPr>
        <w:t>.</w:t>
      </w:r>
    </w:p>
    <w:p w:rsidR="00C76715" w:rsidRDefault="00944E09">
      <w:pPr>
        <w:pStyle w:val="Paragraphedeliste"/>
        <w:numPr>
          <w:ilvl w:val="0"/>
          <w:numId w:val="11"/>
        </w:numPr>
        <w:spacing w:before="60" w:after="0" w:line="240" w:lineRule="auto"/>
        <w:ind w:left="284" w:hanging="284"/>
        <w:rPr>
          <w:rFonts w:ascii="Arial" w:eastAsiaTheme="minorHAnsi" w:hAnsi="Arial" w:cs="Arial"/>
        </w:rPr>
      </w:pPr>
      <w:r>
        <w:rPr>
          <w:rFonts w:ascii="Arial" w:eastAsiaTheme="minorHAnsi" w:hAnsi="Arial" w:cs="Arial"/>
        </w:rPr>
        <w:t>le numéro unique d’identification du candidat prévu mentionné à l’article R.2143-9 ;</w:t>
      </w:r>
    </w:p>
    <w:p w:rsidR="00C76715" w:rsidRDefault="00944E09">
      <w:pPr>
        <w:spacing w:before="60" w:after="0" w:line="240" w:lineRule="auto"/>
        <w:ind w:left="284" w:firstLine="0"/>
        <w:rPr>
          <w:rFonts w:eastAsiaTheme="minorHAnsi" w:cstheme="minorBidi"/>
          <w:color w:val="auto"/>
          <w:lang w:eastAsia="en-US"/>
        </w:rPr>
      </w:pPr>
      <w:r>
        <w:rPr>
          <w:rFonts w:eastAsiaTheme="minorHAnsi" w:cstheme="minorBidi"/>
          <w:color w:val="auto"/>
          <w:lang w:eastAsia="en-US"/>
        </w:rPr>
        <w:t>La transmission de ce numéro s’accompagne également des documents relatifs au pouvoir des personnes habilitées à engager la personne morale, et le cas échéant la délégation de pouvoir.</w:t>
      </w:r>
    </w:p>
    <w:p w:rsidR="00C76715" w:rsidRDefault="00944E09">
      <w:pPr>
        <w:spacing w:before="60" w:after="0" w:line="240" w:lineRule="auto"/>
        <w:ind w:left="284" w:firstLine="0"/>
        <w:rPr>
          <w:rFonts w:eastAsiaTheme="minorHAnsi" w:cstheme="minorBidi"/>
          <w:color w:val="auto"/>
          <w:lang w:eastAsia="en-US"/>
        </w:rPr>
      </w:pPr>
      <w:r>
        <w:rPr>
          <w:rFonts w:eastAsiaTheme="minorHAnsi" w:cstheme="minorBidi"/>
          <w:color w:val="auto"/>
          <w:lang w:eastAsia="en-US"/>
        </w:rPr>
        <w:t>Ces documents concernent chaque personne habilitée à engager la personne morale, qu’il s’agisse d’un candidat unique ou d’un groupement d’opérateurs (chaque cotraitant). Le pouvoir sera signé de manière manuscrite ou électroniquement par le délégant (qui donne le pouvoir) et par le délégataire (qui reçoit le pouvoir) qui sera signé électroniquement pour l’attribution ;</w:t>
      </w:r>
    </w:p>
    <w:p w:rsidR="00C76715" w:rsidRDefault="00944E09">
      <w:pPr>
        <w:pStyle w:val="Paragraphedeliste"/>
        <w:numPr>
          <w:ilvl w:val="0"/>
          <w:numId w:val="11"/>
        </w:numPr>
        <w:spacing w:before="60" w:after="0" w:line="240" w:lineRule="auto"/>
        <w:ind w:left="284" w:hanging="284"/>
        <w:rPr>
          <w:rFonts w:ascii="Arial" w:eastAsiaTheme="minorHAnsi" w:hAnsi="Arial" w:cs="Arial"/>
        </w:rPr>
      </w:pPr>
      <w:r>
        <w:rPr>
          <w:rFonts w:ascii="Arial" w:eastAsiaTheme="minorHAnsi" w:hAnsi="Arial" w:cs="Arial"/>
        </w:rPr>
        <w:t xml:space="preserve">si le candidat emploie des salariés étrangers, la liste nominative des salariés étrangers qu'il emploie et soumis à l'autorisation de travail prévue à </w:t>
      </w:r>
      <w:hyperlink r:id="rId138">
        <w:r>
          <w:rPr>
            <w:rFonts w:ascii="Arial" w:eastAsiaTheme="minorHAnsi" w:hAnsi="Arial" w:cs="Arial"/>
          </w:rPr>
          <w:t>l'article L 5221-2 du Code du travail</w:t>
        </w:r>
      </w:hyperlink>
      <w:r>
        <w:rPr>
          <w:rFonts w:ascii="Arial" w:eastAsiaTheme="minorHAnsi" w:hAnsi="Arial" w:cs="Arial"/>
        </w:rPr>
        <w:t>, doit être fournie. Cette liste doit comporter toutes les informations figurant à l'article D 8254-2 du Code du travail (1° Sa date d'embauche ; 2° Sa nationalité ; 3° Le type et le numéro d'ordre du titre valant autorisation de travail) ;</w:t>
      </w:r>
    </w:p>
    <w:p w:rsidR="00C76715" w:rsidRDefault="00944E09">
      <w:pPr>
        <w:pStyle w:val="Paragraphedeliste"/>
        <w:numPr>
          <w:ilvl w:val="0"/>
          <w:numId w:val="11"/>
        </w:numPr>
        <w:spacing w:before="60" w:after="0" w:line="240" w:lineRule="auto"/>
        <w:ind w:left="284" w:hanging="284"/>
        <w:rPr>
          <w:rFonts w:ascii="Arial" w:eastAsiaTheme="minorHAnsi" w:hAnsi="Arial" w:cs="Arial"/>
        </w:rPr>
      </w:pPr>
      <w:r>
        <w:rPr>
          <w:rFonts w:ascii="Arial" w:eastAsiaTheme="minorHAnsi" w:hAnsi="Arial" w:cs="Arial"/>
        </w:rPr>
        <w:t>pour tout candidat employant au moins vingt salariés, le certificat délivré par l'association de gestion du fonds de développement pour l'insertion professionnelle des personnes handicapées (AGEFIPH), concernant le respect des dispositions des articles L 5212-1 à L 5212-11 du Code du travail, relatives à l'emploi des travailleurs handicapés.</w:t>
      </w:r>
    </w:p>
    <w:p w:rsidR="00C76715" w:rsidRDefault="00944E09">
      <w:pPr>
        <w:pStyle w:val="Titre3"/>
        <w:spacing w:before="240" w:after="120" w:line="240" w:lineRule="auto"/>
        <w:ind w:left="567" w:hanging="567"/>
        <w:rPr>
          <w:b w:val="0"/>
        </w:rPr>
      </w:pPr>
      <w:r>
        <w:rPr>
          <w:b w:val="0"/>
        </w:rPr>
        <w:t>Le candidat est établi ou domicilié à l’étranger</w:t>
      </w:r>
    </w:p>
    <w:p w:rsidR="00C76715" w:rsidRDefault="00944E09">
      <w:pPr>
        <w:spacing w:before="120" w:after="0" w:line="240" w:lineRule="auto"/>
        <w:ind w:left="0" w:firstLine="0"/>
        <w:rPr>
          <w:rFonts w:eastAsia="Times New Roman" w:cs="Times New Roman"/>
          <w:color w:val="auto"/>
        </w:rPr>
      </w:pPr>
      <w:r>
        <w:rPr>
          <w:rFonts w:eastAsia="Times New Roman" w:cs="Times New Roman"/>
          <w:color w:val="auto"/>
        </w:rPr>
        <w:t>Le cas échéant, il produit les certificats délivrés par les administrations et organismes compétents du pays d’origine ou d’établissement exigées au titre de l’article 6.3.2.1 du présent document.</w:t>
      </w:r>
    </w:p>
    <w:p w:rsidR="00C76715" w:rsidRDefault="00944E09">
      <w:pPr>
        <w:spacing w:before="120" w:after="0" w:line="240" w:lineRule="auto"/>
        <w:ind w:left="0" w:firstLine="0"/>
        <w:rPr>
          <w:rFonts w:eastAsiaTheme="minorHAnsi"/>
          <w:color w:val="auto"/>
          <w:lang w:eastAsia="en-US"/>
        </w:rPr>
      </w:pPr>
      <w:r>
        <w:rPr>
          <w:rFonts w:eastAsiaTheme="minorHAnsi"/>
          <w:color w:val="auto"/>
          <w:lang w:eastAsia="en-US"/>
        </w:rPr>
        <w:t xml:space="preserve">Toutefois, si les autorités compétentes du pays d’origine ou d’établissement du candidat ne délivrent pas un ou plusieurs de ces documents, le candidat transmet une déclaration répondant aux exigences de l’article </w:t>
      </w:r>
      <w:hyperlink r:id="rId139">
        <w:r>
          <w:rPr>
            <w:rFonts w:eastAsiaTheme="minorHAnsi"/>
            <w:color w:val="0563C1" w:themeColor="hyperlink"/>
            <w:u w:val="single"/>
            <w:lang w:eastAsia="en-US"/>
          </w:rPr>
          <w:t>R.2343-10</w:t>
        </w:r>
      </w:hyperlink>
      <w:r>
        <w:rPr>
          <w:rFonts w:eastAsiaTheme="minorHAnsi"/>
          <w:color w:val="auto"/>
          <w:lang w:eastAsia="en-US"/>
        </w:rPr>
        <w:t xml:space="preserve"> du Code de la commande publique.</w:t>
      </w:r>
    </w:p>
    <w:p w:rsidR="00C76715" w:rsidRDefault="00944E09">
      <w:pPr>
        <w:pStyle w:val="Titre2"/>
        <w:ind w:left="567" w:hanging="567"/>
      </w:pPr>
      <w:bookmarkStart w:id="28" w:name="_Toc234336719"/>
      <w:r>
        <w:lastRenderedPageBreak/>
        <w:t>Limitation du nombre de candidats autorisés à soumissionner</w:t>
      </w:r>
      <w:bookmarkEnd w:id="28"/>
    </w:p>
    <w:p w:rsidR="00C76715" w:rsidRDefault="00944E09">
      <w:pPr>
        <w:spacing w:before="120" w:after="0" w:line="240" w:lineRule="auto"/>
        <w:ind w:left="0" w:firstLine="0"/>
        <w:rPr>
          <w:rFonts w:eastAsia="Times New Roman" w:cs="Times New Roman"/>
          <w:color w:val="auto"/>
        </w:rPr>
      </w:pPr>
      <w:r>
        <w:rPr>
          <w:rFonts w:eastAsia="Andale Sans UI" w:cs="Times New Roman"/>
          <w:color w:val="auto"/>
        </w:rPr>
        <w:t>Il n’est pas prévu de limitation du nombre de candidat à soumissionner. Toutefois, les candidatures seront reçues suivant les dispositions évoquées à l’article 3.1 du présent règlement de la consultation.</w:t>
      </w:r>
    </w:p>
    <w:p w:rsidR="00C76715" w:rsidRDefault="00944E09">
      <w:pPr>
        <w:pStyle w:val="Titre2"/>
        <w:ind w:left="567" w:hanging="567"/>
      </w:pPr>
      <w:bookmarkStart w:id="29" w:name="_Toc234336720"/>
      <w:r>
        <w:t>Exclusion de la procédure</w:t>
      </w:r>
      <w:bookmarkEnd w:id="29"/>
    </w:p>
    <w:p w:rsidR="00C76715" w:rsidRDefault="00944E09">
      <w:pPr>
        <w:ind w:left="0" w:right="520" w:firstLine="0"/>
      </w:pPr>
      <w:r>
        <w:t xml:space="preserve">Conformément aux dispositions des articles </w:t>
      </w:r>
      <w:hyperlink r:id="rId140" w:anchor="LEGISCTA000037703587" w:history="1">
        <w:r>
          <w:rPr>
            <w:rStyle w:val="Lienhypertexte"/>
          </w:rPr>
          <w:t>L.2141-1 à L.2141-14</w:t>
        </w:r>
      </w:hyperlink>
      <w:r>
        <w:t xml:space="preserve"> du code de la commande publique relatifs aux exclusions de plein droit et aux exclusions à l'appréciation de l'acheteur, les personnes se trouvant dans un des cas d'exclusion sont exclues de la procédure.</w:t>
      </w:r>
    </w:p>
    <w:p w:rsidR="00C76715" w:rsidRDefault="00944E09">
      <w:pPr>
        <w:ind w:left="0" w:right="520" w:firstLine="0"/>
      </w:pPr>
      <w:r>
        <w:t>Lorsqu'un opérateur économique se trouve, en cours de procédure, en situation d'exclusion, il en informe sans délai l'acheteur qui l'exclut pour ce motif.</w:t>
      </w:r>
    </w:p>
    <w:p w:rsidR="00C76715" w:rsidRDefault="00944E09">
      <w:pPr>
        <w:ind w:left="0" w:right="520" w:firstLine="0"/>
      </w:pPr>
      <w:r>
        <w:t>En cas d'exclusion à l'appréciation de l'acheteur, l'opérateur économique présente, à la demande de l'acheteur, ses observations afin d'établir qu'il a pris les mesures nécessaires ou encore que sa participation à la présente consultation n'est pas susceptible de porter atteinte à l'égalité de traitement.</w:t>
      </w:r>
    </w:p>
    <w:p w:rsidR="00C76715" w:rsidRDefault="00944E09">
      <w:pPr>
        <w:ind w:left="0" w:right="520" w:firstLine="0"/>
      </w:pPr>
      <w:r>
        <w:t>Lorsque le motif d'exclusion de la procédure de passation concerne un des membres du groupement, l'acheteur exige son remplacement par une personne qui ne fait pas l'objet d'un motif d'exclusion dans un délai de dix jours à compter de la réception de cette demande par le mandataire du groupement. À défaut, le groupement est exclu de la procédure.</w:t>
      </w:r>
    </w:p>
    <w:p w:rsidR="00C76715" w:rsidRDefault="00944E09">
      <w:pPr>
        <w:ind w:left="0" w:right="520" w:firstLine="0"/>
      </w:pPr>
      <w:r>
        <w:t>Les personnes à l'encontre desquelles il existe un motif d'exclusion ne peuvent être acceptées en tant que sous-traitant.</w:t>
      </w:r>
    </w:p>
    <w:p w:rsidR="00C76715" w:rsidRDefault="00944E09">
      <w:pPr>
        <w:spacing w:after="193"/>
        <w:ind w:left="0" w:right="520" w:firstLine="0"/>
      </w:pPr>
      <w:r>
        <w:t>Lorsque le sous-traitant à l'encontre duquel il existe un motif d'exclusion est présenté au stade de la candidature, l'acheteur exige son remplacement par une personne qui ne fait pas l'objet d'un motif d'exclusion, dans un délai de dix jours à compter de la réception de cette demande par le candidat. À défaut, le candidat est exclu de la procédure.</w:t>
      </w:r>
    </w:p>
    <w:p w:rsidR="00C76715" w:rsidRDefault="00944E09">
      <w:pPr>
        <w:spacing w:after="193"/>
        <w:ind w:left="0" w:right="520" w:firstLine="0"/>
      </w:pPr>
      <w:r>
        <w:t>Est par ailleurs exclu de la procédure, tout candidat auquel l’acheteur ne peut attribuer le contrat au terme de la procédure de passation du présent marché public, en application d’une interdiction émanant d’un texte d’applicabilité directe (accords internationaux, règlement européen…).</w:t>
      </w:r>
    </w:p>
    <w:p w:rsidR="00C76715" w:rsidRDefault="00944E09">
      <w:pPr>
        <w:spacing w:after="193"/>
        <w:ind w:left="0" w:right="520" w:firstLine="0"/>
      </w:pPr>
      <w:r>
        <w:t>L’acheteur peut légitimement, à tout moment au cours de la procédure de passation du présent marché public, demander à un opérateur économique de clarifier ou compléter les informations ou documents liés à la vérification de son origine dans un délai approprié.</w:t>
      </w:r>
    </w:p>
    <w:p w:rsidR="00C76715" w:rsidRDefault="00944E09">
      <w:pPr>
        <w:spacing w:after="193"/>
        <w:ind w:left="0" w:right="520" w:firstLine="0"/>
      </w:pPr>
      <w:r>
        <w:t>Lorsque l’opérateur économique ne fournit pas ces informations ou documents sans apporter d’explications raisonnables, empêchant ainsi l’acheteur de vérifier son origine ou rendant cette vérification pratiquement impossible ou très difficile, cet opérateur économique est exclu de la participation à la présente procédure de passation de marché public.</w:t>
      </w:r>
    </w:p>
    <w:p w:rsidR="00C76715" w:rsidRDefault="00944E09">
      <w:pPr>
        <w:pStyle w:val="Titre2"/>
        <w:ind w:left="567" w:hanging="567"/>
      </w:pPr>
      <w:r>
        <w:t xml:space="preserve"> </w:t>
      </w:r>
      <w:bookmarkStart w:id="30" w:name="_Toc234336721"/>
      <w:r>
        <w:t>Vérification des motifs d’exclusion</w:t>
      </w:r>
      <w:bookmarkEnd w:id="30"/>
    </w:p>
    <w:p w:rsidR="00C76715" w:rsidRDefault="00944E09">
      <w:pPr>
        <w:spacing w:before="120" w:line="276" w:lineRule="auto"/>
        <w:ind w:left="0" w:firstLine="0"/>
        <w:rPr>
          <w:rFonts w:eastAsia="Times New Roman" w:cs="Times New Roman"/>
          <w:color w:val="auto"/>
        </w:rPr>
      </w:pPr>
      <w:r>
        <w:rPr>
          <w:rFonts w:eastAsia="Times New Roman" w:cs="Times New Roman"/>
          <w:color w:val="auto"/>
        </w:rPr>
        <w:t xml:space="preserve">En application des dispositions de </w:t>
      </w:r>
      <w:hyperlink r:id="rId141">
        <w:r>
          <w:rPr>
            <w:rFonts w:eastAsia="Times New Roman" w:cs="Times New Roman"/>
            <w:color w:val="0563C1" w:themeColor="hyperlink"/>
            <w:u w:val="single"/>
          </w:rPr>
          <w:t>R.2344-2</w:t>
        </w:r>
      </w:hyperlink>
      <w:r>
        <w:rPr>
          <w:rFonts w:eastAsia="Times New Roman" w:cs="Times New Roman"/>
          <w:color w:val="auto"/>
        </w:rPr>
        <w:t xml:space="preserve"> du Code de la commande publique, l’acheteur vérifie les informations qui figurent dans la candidature, y compris en ce qui concerne les opérateurs économiques sur les capacités desquels le candidat s’appuie, au plus tard avant l'attribution du marché. Cette vérification peut ne porter que sur la candidature du candidat auquel il est envisagé d'attribuer le marché.</w:t>
      </w:r>
    </w:p>
    <w:p w:rsidR="00C76715" w:rsidRDefault="00944E09">
      <w:pPr>
        <w:pStyle w:val="Titre1"/>
        <w:spacing w:before="360"/>
        <w:ind w:left="567" w:hanging="567"/>
        <w:rPr>
          <w:u w:val="single"/>
        </w:rPr>
      </w:pPr>
      <w:bookmarkStart w:id="31" w:name="_Toc234336722"/>
      <w:r>
        <w:rPr>
          <w:u w:val="single"/>
        </w:rPr>
        <w:t>OFFRE</w:t>
      </w:r>
      <w:bookmarkEnd w:id="31"/>
    </w:p>
    <w:p w:rsidR="00C76715" w:rsidRDefault="00944E09">
      <w:pPr>
        <w:pStyle w:val="Titre2"/>
        <w:ind w:left="567" w:hanging="567"/>
      </w:pPr>
      <w:r>
        <w:tab/>
      </w:r>
      <w:bookmarkStart w:id="32" w:name="_Toc234336723"/>
      <w:r>
        <w:t>Offre</w:t>
      </w:r>
      <w:bookmarkEnd w:id="32"/>
    </w:p>
    <w:p w:rsidR="00C76715" w:rsidRDefault="00944E09">
      <w:pPr>
        <w:spacing w:before="120" w:after="0" w:line="240" w:lineRule="auto"/>
        <w:ind w:left="0" w:firstLine="0"/>
        <w:rPr>
          <w:b/>
        </w:rPr>
      </w:pPr>
      <w:r>
        <w:rPr>
          <w:b/>
        </w:rPr>
        <w:t xml:space="preserve">A ce stade, phase de candidature, les éléments de l’offre ne sont pas à fournir. </w:t>
      </w:r>
    </w:p>
    <w:p w:rsidR="00C76715" w:rsidRDefault="00944E09">
      <w:pPr>
        <w:pStyle w:val="Standard"/>
        <w:spacing w:before="60"/>
        <w:rPr>
          <w:sz w:val="22"/>
          <w:szCs w:val="22"/>
        </w:rPr>
      </w:pPr>
      <w:r>
        <w:rPr>
          <w:sz w:val="22"/>
          <w:szCs w:val="22"/>
          <w:u w:val="single"/>
        </w:rPr>
        <w:t>Précisions concernant les sous-contractants</w:t>
      </w:r>
      <w:r>
        <w:rPr>
          <w:sz w:val="22"/>
          <w:szCs w:val="22"/>
        </w:rPr>
        <w:t xml:space="preserve"> : </w:t>
      </w:r>
    </w:p>
    <w:p w:rsidR="00C76715" w:rsidRDefault="00944E09">
      <w:pPr>
        <w:pStyle w:val="Standard"/>
        <w:spacing w:before="60"/>
        <w:rPr>
          <w:sz w:val="22"/>
          <w:szCs w:val="22"/>
        </w:rPr>
      </w:pPr>
      <w:r>
        <w:rPr>
          <w:sz w:val="22"/>
          <w:szCs w:val="22"/>
        </w:rPr>
        <w:t>En application de l’</w:t>
      </w:r>
      <w:hyperlink r:id="rId142">
        <w:r>
          <w:rPr>
            <w:rStyle w:val="Lienhypertexte"/>
            <w:sz w:val="22"/>
            <w:szCs w:val="22"/>
          </w:rPr>
          <w:t>article L.2393-8</w:t>
        </w:r>
      </w:hyperlink>
      <w:r>
        <w:rPr>
          <w:sz w:val="22"/>
          <w:szCs w:val="22"/>
        </w:rPr>
        <w:t xml:space="preserve"> du Code de la commande publique, l’acheteur peut ne pas accepter un opérateur économique proposé par le soumissionnaire ou le titulaire comme sous-contractant s’il </w:t>
      </w:r>
      <w:r>
        <w:rPr>
          <w:sz w:val="22"/>
          <w:szCs w:val="22"/>
        </w:rPr>
        <w:lastRenderedPageBreak/>
        <w:t>est placé dans un cas d’exclusion mentionné au chapitre 1</w:t>
      </w:r>
      <w:r>
        <w:rPr>
          <w:sz w:val="22"/>
          <w:szCs w:val="22"/>
          <w:vertAlign w:val="superscript"/>
        </w:rPr>
        <w:t>er</w:t>
      </w:r>
      <w:r>
        <w:rPr>
          <w:sz w:val="22"/>
          <w:szCs w:val="22"/>
        </w:rPr>
        <w:t xml:space="preserve"> du titre IV ou au motif qu’il ne présente pas les garanties suffisantes telles que celles exigées pour les candidats du marché public principal, notamment en termes de capacités techniques, professionnelles et financières ou de sécurité de l’information ou de sécurité des approvisionnements.</w:t>
      </w:r>
    </w:p>
    <w:p w:rsidR="00C76715" w:rsidRDefault="00944E09">
      <w:pPr>
        <w:pStyle w:val="Titre2"/>
        <w:ind w:left="567" w:hanging="567"/>
      </w:pPr>
      <w:bookmarkStart w:id="33" w:name="_Toc234336724"/>
      <w:r>
        <w:t>Examen des offres</w:t>
      </w:r>
      <w:bookmarkEnd w:id="33"/>
    </w:p>
    <w:p w:rsidR="00C76715" w:rsidRDefault="00944E09">
      <w:pPr>
        <w:spacing w:before="120" w:after="0" w:line="240" w:lineRule="auto"/>
        <w:ind w:left="0" w:firstLine="0"/>
      </w:pPr>
      <w:r>
        <w:t>Les offres inappropriées, irrégulières ou inacceptables sont éliminées.</w:t>
      </w:r>
    </w:p>
    <w:p w:rsidR="00C76715" w:rsidRDefault="00944E09">
      <w:pPr>
        <w:spacing w:before="120" w:after="0" w:line="240" w:lineRule="auto"/>
        <w:ind w:left="0" w:firstLine="0"/>
      </w:pPr>
      <w:r>
        <w:t>Toutefois, l’acheteur peut autoriser tous les soumissionnaires concernés à régulariser les offres irrégulières dans un délai approprié.</w:t>
      </w:r>
    </w:p>
    <w:p w:rsidR="00C76715" w:rsidRDefault="00944E09">
      <w:pPr>
        <w:pStyle w:val="Titre3"/>
        <w:tabs>
          <w:tab w:val="center" w:pos="2014"/>
        </w:tabs>
        <w:spacing w:before="240" w:after="120" w:line="240" w:lineRule="auto"/>
        <w:ind w:left="567" w:hanging="567"/>
        <w:jc w:val="both"/>
        <w:rPr>
          <w:i w:val="0"/>
        </w:rPr>
      </w:pPr>
      <w:r>
        <w:rPr>
          <w:i w:val="0"/>
        </w:rPr>
        <w:t xml:space="preserve">  Critères d'attribution</w:t>
      </w:r>
    </w:p>
    <w:p w:rsidR="00C76715" w:rsidRDefault="00944E09">
      <w:pPr>
        <w:spacing w:before="120" w:after="0" w:line="240" w:lineRule="auto"/>
        <w:ind w:left="0" w:firstLine="0"/>
      </w:pPr>
      <w:r>
        <w:t xml:space="preserve">Pour information l’offre économiquement la plus avantageuse sera appréciée en fonction des critères pondérés suivant: </w:t>
      </w:r>
    </w:p>
    <w:p w:rsidR="00C76715" w:rsidRDefault="00944E09">
      <w:pPr>
        <w:spacing w:before="120" w:after="120" w:line="240" w:lineRule="auto"/>
        <w:ind w:left="0" w:firstLine="0"/>
        <w:rPr>
          <w:b/>
          <w:u w:val="single"/>
        </w:rPr>
      </w:pPr>
      <w:r>
        <w:rPr>
          <w:b/>
          <w:u w:val="single"/>
        </w:rPr>
        <w:t>A ce stade, il est envisagé pour la phase offre :</w:t>
      </w:r>
    </w:p>
    <w:p w:rsidR="00C76715" w:rsidRDefault="00944E09">
      <w:pPr>
        <w:spacing w:before="120" w:after="0" w:line="240" w:lineRule="auto"/>
        <w:ind w:left="0" w:firstLine="0"/>
      </w:pPr>
      <w:r>
        <w:rPr>
          <w:b/>
          <w:u w:val="single"/>
        </w:rPr>
        <w:t>Lot n°1</w:t>
      </w:r>
      <w:r>
        <w:t> :</w:t>
      </w:r>
    </w:p>
    <w:p w:rsidR="00C76715" w:rsidRDefault="00944E09">
      <w:pPr>
        <w:pStyle w:val="Standard"/>
        <w:numPr>
          <w:ilvl w:val="0"/>
          <w:numId w:val="2"/>
        </w:numPr>
        <w:spacing w:before="60"/>
        <w:ind w:left="284" w:hanging="284"/>
        <w:rPr>
          <w:sz w:val="22"/>
          <w:szCs w:val="22"/>
        </w:rPr>
      </w:pPr>
      <w:r>
        <w:rPr>
          <w:sz w:val="22"/>
          <w:szCs w:val="22"/>
        </w:rPr>
        <w:t>un critère technique, pondéré de 60% ;</w:t>
      </w:r>
    </w:p>
    <w:p w:rsidR="00C76715" w:rsidRDefault="00944E09">
      <w:pPr>
        <w:pStyle w:val="Standard"/>
        <w:numPr>
          <w:ilvl w:val="0"/>
          <w:numId w:val="2"/>
        </w:numPr>
        <w:spacing w:before="60"/>
        <w:ind w:left="284" w:hanging="284"/>
        <w:rPr>
          <w:sz w:val="22"/>
          <w:szCs w:val="22"/>
        </w:rPr>
      </w:pPr>
      <w:r>
        <w:rPr>
          <w:sz w:val="22"/>
          <w:szCs w:val="22"/>
        </w:rPr>
        <w:t>un critère financier (prix), pondéré de 40%.</w:t>
      </w:r>
    </w:p>
    <w:p w:rsidR="00C76715" w:rsidRDefault="00944E09">
      <w:pPr>
        <w:spacing w:before="120" w:after="0" w:line="240" w:lineRule="auto"/>
        <w:ind w:left="0"/>
      </w:pPr>
      <w:r>
        <w:rPr>
          <w:b/>
          <w:u w:val="single"/>
        </w:rPr>
        <w:t>Lot n°2</w:t>
      </w:r>
      <w:r>
        <w:t> :</w:t>
      </w:r>
    </w:p>
    <w:p w:rsidR="00C76715" w:rsidRDefault="00944E09">
      <w:pPr>
        <w:pStyle w:val="Standard"/>
        <w:numPr>
          <w:ilvl w:val="0"/>
          <w:numId w:val="2"/>
        </w:numPr>
        <w:spacing w:before="60"/>
        <w:ind w:left="284" w:hanging="284"/>
        <w:rPr>
          <w:sz w:val="22"/>
          <w:szCs w:val="22"/>
        </w:rPr>
      </w:pPr>
      <w:r>
        <w:rPr>
          <w:sz w:val="22"/>
          <w:szCs w:val="22"/>
        </w:rPr>
        <w:t>un critère technique, pondéré de 60% ;</w:t>
      </w:r>
    </w:p>
    <w:p w:rsidR="00C76715" w:rsidRDefault="00944E09">
      <w:pPr>
        <w:pStyle w:val="Standard"/>
        <w:numPr>
          <w:ilvl w:val="0"/>
          <w:numId w:val="2"/>
        </w:numPr>
        <w:spacing w:before="60"/>
        <w:ind w:left="284" w:hanging="284"/>
        <w:rPr>
          <w:sz w:val="22"/>
          <w:szCs w:val="22"/>
        </w:rPr>
      </w:pPr>
      <w:r>
        <w:rPr>
          <w:sz w:val="22"/>
          <w:szCs w:val="22"/>
        </w:rPr>
        <w:t>un critère financier (prix), pondéré de 40%.</w:t>
      </w:r>
    </w:p>
    <w:p w:rsidR="00C76715" w:rsidRDefault="00944E09">
      <w:pPr>
        <w:pStyle w:val="Titre3"/>
        <w:tabs>
          <w:tab w:val="center" w:pos="2562"/>
        </w:tabs>
        <w:spacing w:before="240" w:after="120" w:line="240" w:lineRule="auto"/>
        <w:ind w:left="567" w:hanging="567"/>
        <w:jc w:val="both"/>
        <w:rPr>
          <w:i w:val="0"/>
        </w:rPr>
      </w:pPr>
      <w:r>
        <w:rPr>
          <w:i w:val="0"/>
        </w:rPr>
        <w:t xml:space="preserve"> Méthode de notation des offres</w:t>
      </w:r>
    </w:p>
    <w:p w:rsidR="00C76715" w:rsidRDefault="00944E09">
      <w:pPr>
        <w:pStyle w:val="Titre4"/>
        <w:spacing w:before="240" w:after="120" w:line="240" w:lineRule="auto"/>
        <w:ind w:left="567" w:right="0" w:hanging="567"/>
      </w:pPr>
      <w:r>
        <w:t xml:space="preserve">  Méthode de notation du critère technique </w:t>
      </w:r>
    </w:p>
    <w:p w:rsidR="00C76715" w:rsidRDefault="00944E09">
      <w:pPr>
        <w:spacing w:before="120" w:after="0" w:line="240" w:lineRule="auto"/>
        <w:ind w:left="0" w:firstLine="0"/>
      </w:pPr>
      <w:r>
        <w:t>Le critère technique sera jugé sur la base d’un mémoire technique élaboré par le soumissionnaire.</w:t>
      </w:r>
    </w:p>
    <w:p w:rsidR="00C76715" w:rsidRDefault="00C76715">
      <w:pPr>
        <w:spacing w:before="120" w:after="120" w:line="240" w:lineRule="auto"/>
        <w:ind w:left="0" w:firstLine="0"/>
        <w:jc w:val="center"/>
        <w:rPr>
          <w:highlight w:val="yellow"/>
        </w:rPr>
      </w:pPr>
    </w:p>
    <w:p w:rsidR="00C76715" w:rsidRDefault="00944E09">
      <w:pPr>
        <w:pStyle w:val="Titre4"/>
        <w:widowControl w:val="0"/>
        <w:spacing w:before="240" w:after="120" w:line="240" w:lineRule="auto"/>
        <w:ind w:left="567" w:right="0" w:hanging="567"/>
      </w:pPr>
      <w:r>
        <w:t xml:space="preserve"> Négociation</w:t>
      </w:r>
    </w:p>
    <w:p w:rsidR="00C76715" w:rsidRDefault="00944E09">
      <w:pPr>
        <w:widowControl w:val="0"/>
        <w:spacing w:before="120" w:after="0" w:line="240" w:lineRule="auto"/>
        <w:ind w:left="0" w:firstLine="0"/>
        <w:textAlignment w:val="center"/>
        <w:rPr>
          <w:rFonts w:eastAsia="Andale Sans UI" w:cs="Tahoma"/>
          <w:color w:val="auto"/>
          <w:kern w:val="2"/>
          <w:lang w:eastAsia="ja-JP" w:bidi="fa-IR"/>
        </w:rPr>
      </w:pPr>
      <w:r>
        <w:rPr>
          <w:rFonts w:eastAsia="Andale Sans UI" w:cs="Tahoma"/>
          <w:color w:val="auto"/>
          <w:kern w:val="2"/>
          <w:lang w:eastAsia="ja-JP" w:bidi="fa-IR"/>
        </w:rPr>
        <w:t>Le représentant du pouvoir adjudicateur peut recourir à la négociation tant sur le prix que sur le contenu de l'offre avec les soumissionnaires ayant déposé les offres.</w:t>
      </w:r>
    </w:p>
    <w:p w:rsidR="00C76715" w:rsidRDefault="00944E09">
      <w:pPr>
        <w:widowControl w:val="0"/>
        <w:spacing w:before="120" w:after="0" w:line="240" w:lineRule="auto"/>
        <w:ind w:left="0" w:firstLine="0"/>
        <w:textAlignment w:val="center"/>
        <w:rPr>
          <w:rFonts w:eastAsia="Andale Sans UI" w:cs="Tahoma"/>
          <w:color w:val="auto"/>
          <w:kern w:val="2"/>
          <w:lang w:eastAsia="ja-JP" w:bidi="fa-IR"/>
        </w:rPr>
      </w:pPr>
      <w:r>
        <w:rPr>
          <w:rFonts w:eastAsia="Andale Sans UI" w:cs="Tahoma"/>
          <w:color w:val="auto"/>
          <w:kern w:val="2"/>
          <w:lang w:eastAsia="ja-JP" w:bidi="fa-IR"/>
        </w:rPr>
        <w:t>Au terme de la négociation, les offres finales irrégulières ou inacceptables sont éliminées.</w:t>
      </w:r>
    </w:p>
    <w:p w:rsidR="00C76715" w:rsidRDefault="00944E09">
      <w:pPr>
        <w:widowControl w:val="0"/>
        <w:spacing w:before="120" w:after="0" w:line="240" w:lineRule="auto"/>
        <w:ind w:left="0" w:firstLine="0"/>
        <w:textAlignment w:val="center"/>
        <w:rPr>
          <w:rFonts w:eastAsia="Andale Sans UI" w:cs="Tahoma"/>
          <w:color w:val="auto"/>
          <w:kern w:val="2"/>
          <w:lang w:eastAsia="ja-JP" w:bidi="fa-IR"/>
        </w:rPr>
      </w:pPr>
      <w:r>
        <w:rPr>
          <w:rFonts w:eastAsia="Andale Sans UI" w:cs="Tahoma"/>
          <w:color w:val="auto"/>
          <w:kern w:val="2"/>
          <w:lang w:eastAsia="ja-JP" w:bidi="fa-IR"/>
        </w:rPr>
        <w:t>Néanmoins, l’acheteur peut autoriser tous les soumissionnaires concernés à régulariser les offres irrégulières dans un délai approprié, L’offre la mieux classée est retenue provisoirement.</w:t>
      </w:r>
    </w:p>
    <w:p w:rsidR="00C76715" w:rsidRDefault="00944E09">
      <w:pPr>
        <w:widowControl w:val="0"/>
        <w:spacing w:before="120" w:after="0" w:line="240" w:lineRule="auto"/>
        <w:ind w:left="0" w:firstLine="0"/>
        <w:textAlignment w:val="center"/>
        <w:rPr>
          <w:rFonts w:eastAsia="Andale Sans UI" w:cs="Tahoma"/>
          <w:color w:val="auto"/>
          <w:kern w:val="2"/>
          <w:lang w:eastAsia="ja-JP" w:bidi="fa-IR"/>
        </w:rPr>
      </w:pPr>
      <w:r>
        <w:rPr>
          <w:rFonts w:eastAsia="Andale Sans UI" w:cs="Tahoma"/>
          <w:color w:val="auto"/>
          <w:kern w:val="2"/>
          <w:lang w:eastAsia="ja-JP" w:bidi="fa-IR"/>
        </w:rPr>
        <w:t>Toutefois, l’administration se réserve le droit d’attribuer le marché sur la base des offres initiales sans négociation, si l’offre économiquement la plus avantageuse correspond aux attentes du Service.</w:t>
      </w:r>
    </w:p>
    <w:p w:rsidR="00C76715" w:rsidRDefault="00944E09">
      <w:pPr>
        <w:pStyle w:val="Titre2"/>
        <w:ind w:left="567" w:hanging="567"/>
      </w:pPr>
      <w:bookmarkStart w:id="34" w:name="_Toc205986067"/>
      <w:bookmarkStart w:id="35" w:name="_Toc205985983"/>
      <w:bookmarkStart w:id="36" w:name="_Toc205986066"/>
      <w:bookmarkStart w:id="37" w:name="_Toc205985982"/>
      <w:bookmarkStart w:id="38" w:name="_Toc205986065"/>
      <w:bookmarkStart w:id="39" w:name="_Toc205985981"/>
      <w:bookmarkStart w:id="40" w:name="_Toc234336725"/>
      <w:bookmarkEnd w:id="34"/>
      <w:bookmarkEnd w:id="35"/>
      <w:bookmarkEnd w:id="36"/>
      <w:bookmarkEnd w:id="37"/>
      <w:bookmarkEnd w:id="38"/>
      <w:bookmarkEnd w:id="39"/>
      <w:r>
        <w:t>Durée de validité des offres</w:t>
      </w:r>
      <w:bookmarkEnd w:id="40"/>
    </w:p>
    <w:p w:rsidR="00C76715" w:rsidRDefault="00944E09">
      <w:pPr>
        <w:spacing w:after="0" w:line="240" w:lineRule="auto"/>
        <w:ind w:left="0" w:firstLine="0"/>
      </w:pPr>
      <w:r>
        <w:t xml:space="preserve">Les offres sont valables </w:t>
      </w:r>
      <w:r>
        <w:rPr>
          <w:b/>
        </w:rPr>
        <w:t>six (6) mois</w:t>
      </w:r>
      <w:r>
        <w:t xml:space="preserve"> à compter de la date limite de remise des plis.</w:t>
      </w:r>
    </w:p>
    <w:p w:rsidR="00C76715" w:rsidRDefault="00944E09">
      <w:pPr>
        <w:spacing w:before="120" w:after="0" w:line="240" w:lineRule="auto"/>
        <w:ind w:left="0" w:firstLine="0"/>
      </w:pPr>
      <w:r>
        <w:t>En tant que de besoin, l’acheteur peut solliciter des soumissionnaires la prorogation du délai de validité des offres.</w:t>
      </w:r>
    </w:p>
    <w:p w:rsidR="00C76715" w:rsidRDefault="00944E09">
      <w:pPr>
        <w:spacing w:before="120" w:after="0" w:line="240" w:lineRule="auto"/>
        <w:ind w:left="0" w:firstLine="0"/>
      </w:pPr>
      <w:r>
        <w:t>Pour ce faire il transmet, pour accord, sa demande à l'ensemble des soumissionnaires via la plateforme PLACE. La demande précise la durée de prorogation de la validité des offres.</w:t>
      </w:r>
    </w:p>
    <w:p w:rsidR="00C76715" w:rsidRDefault="00944E09">
      <w:pPr>
        <w:spacing w:before="120" w:after="0" w:line="240" w:lineRule="auto"/>
        <w:ind w:left="0" w:firstLine="0"/>
      </w:pPr>
      <w:r>
        <w:t>La demande de prolongation de la validité de l’offre n’est pas formulée aux soumissionnaires dont l’offre a déjà fait l’objet d’une notification de rejet.</w:t>
      </w:r>
    </w:p>
    <w:p w:rsidR="00C76715" w:rsidRDefault="00944E09">
      <w:pPr>
        <w:pStyle w:val="Titre1"/>
        <w:spacing w:before="360"/>
        <w:ind w:left="567" w:hanging="567"/>
        <w:rPr>
          <w:u w:val="single"/>
        </w:rPr>
      </w:pPr>
      <w:bookmarkStart w:id="41" w:name="_Toc234336726"/>
      <w:r>
        <w:rPr>
          <w:u w:val="single"/>
        </w:rPr>
        <w:t>ATTRIBUTION DU MARCHÉ</w:t>
      </w:r>
      <w:bookmarkEnd w:id="41"/>
    </w:p>
    <w:p w:rsidR="00C76715" w:rsidRDefault="00944E09">
      <w:pPr>
        <w:spacing w:before="120" w:after="0" w:line="240" w:lineRule="auto"/>
        <w:ind w:left="0" w:firstLine="0"/>
      </w:pPr>
      <w:r>
        <w:t>Le marché public est attribué au soumissionnaire dont l'offre est économiquement la plus avantageuse, au regard des critères d'attribution énoncés dans le présent règlement de la consultation.</w:t>
      </w:r>
    </w:p>
    <w:p w:rsidR="00C76715" w:rsidRDefault="00944E09">
      <w:pPr>
        <w:spacing w:before="120" w:after="0" w:line="240" w:lineRule="auto"/>
        <w:ind w:left="0" w:firstLine="0"/>
      </w:pPr>
      <w:r>
        <w:lastRenderedPageBreak/>
        <w:t xml:space="preserve">Les soumissionnaires évincés sont informés du rejet de leur offre dans les conditions fixées aux </w:t>
      </w:r>
      <w:hyperlink r:id="rId143" w:anchor="LEGISCTA000037730015" w:history="1">
        <w:r>
          <w:rPr>
            <w:rStyle w:val="Lienhypertexte"/>
          </w:rPr>
          <w:t>articles R.2381-1 et suivants</w:t>
        </w:r>
      </w:hyperlink>
      <w:r>
        <w:t xml:space="preserve"> du Code de la commande publique.</w:t>
      </w:r>
    </w:p>
    <w:p w:rsidR="00C76715" w:rsidRDefault="00944E09">
      <w:pPr>
        <w:pStyle w:val="Titre2"/>
        <w:ind w:left="567" w:hanging="567"/>
      </w:pPr>
      <w:bookmarkStart w:id="42" w:name="_Toc234336727"/>
      <w:r>
        <w:t>Documents à produire par le titulaire pressenti</w:t>
      </w:r>
      <w:bookmarkEnd w:id="42"/>
    </w:p>
    <w:p w:rsidR="00C76715" w:rsidRDefault="00944E09">
      <w:pPr>
        <w:spacing w:before="120" w:after="0" w:line="240" w:lineRule="auto"/>
        <w:ind w:left="0" w:firstLine="0"/>
        <w:rPr>
          <w:b/>
        </w:rPr>
      </w:pPr>
      <w:r>
        <w:rPr>
          <w:b/>
        </w:rPr>
        <w:t>Ces éléments ne seront demandés qu’en phase « offre ».</w:t>
      </w:r>
    </w:p>
    <w:p w:rsidR="00C76715" w:rsidRDefault="00944E09">
      <w:pPr>
        <w:spacing w:before="120" w:after="0" w:line="240" w:lineRule="auto"/>
        <w:ind w:left="0" w:firstLine="0"/>
      </w:pPr>
      <w:r>
        <w:t xml:space="preserve">Le soumissionnaire auquel il est envisagé d'attribuer le marché public fournit dans le délai fixé dans le courrier envoyé par voie dématérialisée l'informant que son offre est susceptible d'être retenue, les documents suivants : </w:t>
      </w:r>
    </w:p>
    <w:p w:rsidR="00C76715" w:rsidRDefault="00944E09">
      <w:pPr>
        <w:pStyle w:val="Standard"/>
        <w:numPr>
          <w:ilvl w:val="0"/>
          <w:numId w:val="2"/>
        </w:numPr>
        <w:spacing w:before="60"/>
        <w:ind w:left="284" w:hanging="284"/>
        <w:rPr>
          <w:rFonts w:cs="Arial"/>
          <w:sz w:val="22"/>
          <w:szCs w:val="22"/>
        </w:rPr>
      </w:pPr>
      <w:r>
        <w:rPr>
          <w:rFonts w:cs="Arial"/>
          <w:sz w:val="22"/>
          <w:szCs w:val="22"/>
        </w:rPr>
        <w:t>l'acte d'engagement (ATTRI1) et ses éventuelles annexes, complété et signé, le cas échéant par tous les membres du groupement d'opérateurs économiques ;</w:t>
      </w:r>
    </w:p>
    <w:p w:rsidR="00C76715" w:rsidRDefault="00944E09">
      <w:pPr>
        <w:pStyle w:val="Standard"/>
        <w:numPr>
          <w:ilvl w:val="0"/>
          <w:numId w:val="2"/>
        </w:numPr>
        <w:spacing w:before="60"/>
        <w:ind w:left="284" w:hanging="284"/>
        <w:rPr>
          <w:rFonts w:cs="Arial"/>
          <w:sz w:val="22"/>
          <w:szCs w:val="22"/>
        </w:rPr>
      </w:pPr>
      <w:r>
        <w:rPr>
          <w:rFonts w:cs="Arial"/>
          <w:sz w:val="22"/>
          <w:szCs w:val="22"/>
        </w:rPr>
        <w:t>le cas échéant, dans le cas où les membres du groupement d'opérateurs économiques ne signent pas tous l'acte d'engagement, le document d'habilitation signé par tous les membres du groupement ;</w:t>
      </w:r>
    </w:p>
    <w:p w:rsidR="00C76715" w:rsidRDefault="00944E09">
      <w:pPr>
        <w:pStyle w:val="Standard"/>
        <w:numPr>
          <w:ilvl w:val="0"/>
          <w:numId w:val="2"/>
        </w:numPr>
        <w:spacing w:before="60"/>
        <w:ind w:left="284" w:hanging="284"/>
        <w:rPr>
          <w:rFonts w:cs="Arial"/>
          <w:sz w:val="22"/>
          <w:szCs w:val="22"/>
        </w:rPr>
      </w:pPr>
      <w:r>
        <w:rPr>
          <w:rFonts w:cs="Arial"/>
          <w:sz w:val="22"/>
          <w:szCs w:val="22"/>
        </w:rPr>
        <w:t>le pouvoir du ou des signataires d'engager la personne qu'il représente (titulaire individuel ou groupement d'opérateurs économiques) ;</w:t>
      </w:r>
    </w:p>
    <w:p w:rsidR="00C76715" w:rsidRDefault="00944E09">
      <w:pPr>
        <w:pStyle w:val="Standard"/>
        <w:numPr>
          <w:ilvl w:val="0"/>
          <w:numId w:val="2"/>
        </w:numPr>
        <w:spacing w:before="60"/>
        <w:ind w:left="284" w:hanging="284"/>
        <w:rPr>
          <w:rFonts w:cs="Arial"/>
          <w:sz w:val="22"/>
          <w:szCs w:val="22"/>
        </w:rPr>
      </w:pPr>
      <w:r>
        <w:rPr>
          <w:rFonts w:cs="Arial"/>
          <w:sz w:val="22"/>
          <w:szCs w:val="22"/>
        </w:rPr>
        <w:t>le cas échéant, en cas de recours au sous-contrat, la déclaration de sous-contrat (DC4 ou équivalent) signée par le sous-contractant et le soumissionnaire et les renseignements relatifs aux capacités du sous-contractant lorsque le soumissionnaire s'appuie sur celles-ci ;</w:t>
      </w:r>
    </w:p>
    <w:p w:rsidR="00C76715" w:rsidRDefault="00944E09">
      <w:pPr>
        <w:pStyle w:val="Standard"/>
        <w:numPr>
          <w:ilvl w:val="0"/>
          <w:numId w:val="2"/>
        </w:numPr>
        <w:spacing w:before="60"/>
        <w:ind w:left="284" w:hanging="284"/>
        <w:rPr>
          <w:rFonts w:cs="Arial"/>
          <w:sz w:val="22"/>
          <w:szCs w:val="22"/>
        </w:rPr>
      </w:pPr>
      <w:r>
        <w:rPr>
          <w:rFonts w:cs="Arial"/>
          <w:sz w:val="22"/>
          <w:szCs w:val="22"/>
        </w:rPr>
        <w:t>le relevé d'identité bancaire du sous-traitant si volonté de ce dernier d’être payé directement par le maître d’ouvrage ;</w:t>
      </w:r>
    </w:p>
    <w:p w:rsidR="00C76715" w:rsidRDefault="00944E09">
      <w:pPr>
        <w:pStyle w:val="Standard"/>
        <w:numPr>
          <w:ilvl w:val="0"/>
          <w:numId w:val="2"/>
        </w:numPr>
        <w:spacing w:before="60"/>
        <w:ind w:left="284" w:hanging="284"/>
        <w:rPr>
          <w:rFonts w:cs="Arial"/>
          <w:sz w:val="22"/>
          <w:szCs w:val="22"/>
        </w:rPr>
      </w:pPr>
      <w:r>
        <w:rPr>
          <w:rFonts w:cs="Arial"/>
          <w:sz w:val="22"/>
          <w:szCs w:val="22"/>
        </w:rPr>
        <w:t>en cas de redressement judiciaire, ou une procédure équivalente régie par un droit étranger, la copie du ou des jugements prononcés ;</w:t>
      </w:r>
    </w:p>
    <w:p w:rsidR="00C76715" w:rsidRDefault="00944E09">
      <w:pPr>
        <w:pStyle w:val="Standard"/>
        <w:numPr>
          <w:ilvl w:val="0"/>
          <w:numId w:val="2"/>
        </w:numPr>
        <w:spacing w:before="60"/>
        <w:ind w:left="284" w:hanging="284"/>
        <w:rPr>
          <w:rFonts w:cs="Arial"/>
          <w:sz w:val="22"/>
          <w:szCs w:val="22"/>
        </w:rPr>
      </w:pPr>
      <w:r>
        <w:rPr>
          <w:rFonts w:cs="Arial"/>
          <w:sz w:val="22"/>
          <w:szCs w:val="22"/>
        </w:rPr>
        <w:t>le cas échéant, si le soumissionnaire emploie des salariés étrangers, la liste nominative des salariés étrangers qu'il emploie et qui sont soumis à l'autorisation de travail prévue à l'</w:t>
      </w:r>
      <w:hyperlink r:id="rId144">
        <w:r>
          <w:rPr>
            <w:rStyle w:val="Lienhypertexte"/>
            <w:rFonts w:cs="Arial"/>
            <w:sz w:val="22"/>
            <w:szCs w:val="22"/>
          </w:rPr>
          <w:t>article L.5221-2</w:t>
        </w:r>
      </w:hyperlink>
      <w:r>
        <w:rPr>
          <w:rFonts w:cs="Arial"/>
          <w:sz w:val="22"/>
          <w:szCs w:val="22"/>
        </w:rPr>
        <w:t xml:space="preserve"> du Code du travail. Cette liste doit comporter toutes les informations figurant à l'</w:t>
      </w:r>
      <w:hyperlink r:id="rId145">
        <w:r>
          <w:rPr>
            <w:rStyle w:val="Lienhypertexte"/>
            <w:rFonts w:cs="Arial"/>
            <w:sz w:val="22"/>
            <w:szCs w:val="22"/>
          </w:rPr>
          <w:t>article</w:t>
        </w:r>
        <w:r>
          <w:rPr>
            <w:rStyle w:val="Lienhypertexte"/>
          </w:rPr>
          <w:t> </w:t>
        </w:r>
        <w:r>
          <w:rPr>
            <w:rStyle w:val="Lienhypertexte"/>
            <w:rFonts w:cs="Arial"/>
            <w:sz w:val="22"/>
            <w:szCs w:val="22"/>
          </w:rPr>
          <w:t>D.8254-2</w:t>
        </w:r>
      </w:hyperlink>
      <w:r>
        <w:rPr>
          <w:rFonts w:cs="Arial"/>
          <w:sz w:val="22"/>
          <w:szCs w:val="22"/>
        </w:rPr>
        <w:t xml:space="preserve"> du Code du travail (1° la date d'embauche ; 2° la nationalité ; 3° le type et le numéro d'ordre du titre valant autorisation de travail) ;</w:t>
      </w:r>
    </w:p>
    <w:p w:rsidR="00C76715" w:rsidRDefault="00944E09">
      <w:pPr>
        <w:pStyle w:val="Standard"/>
        <w:numPr>
          <w:ilvl w:val="0"/>
          <w:numId w:val="2"/>
        </w:numPr>
        <w:spacing w:before="60"/>
        <w:ind w:left="284" w:hanging="284"/>
        <w:rPr>
          <w:rFonts w:cs="Arial"/>
          <w:sz w:val="22"/>
          <w:szCs w:val="22"/>
        </w:rPr>
      </w:pPr>
      <w:r>
        <w:rPr>
          <w:rFonts w:cs="Arial"/>
          <w:sz w:val="22"/>
          <w:szCs w:val="22"/>
        </w:rPr>
        <w:t>les attestations d’assurance décennale et responsabilité civile.</w:t>
      </w:r>
    </w:p>
    <w:p w:rsidR="00C76715" w:rsidRDefault="00944E09">
      <w:pPr>
        <w:pStyle w:val="Titre2"/>
        <w:ind w:left="567" w:hanging="567"/>
      </w:pPr>
      <w:bookmarkStart w:id="43" w:name="_Toc234336728"/>
      <w:r>
        <w:t>Mise au point éventuelle</w:t>
      </w:r>
      <w:bookmarkEnd w:id="43"/>
    </w:p>
    <w:p w:rsidR="00C76715" w:rsidRDefault="00944E09">
      <w:pPr>
        <w:spacing w:before="120" w:after="0" w:line="240" w:lineRule="auto"/>
        <w:ind w:left="0" w:firstLine="0"/>
      </w:pPr>
      <w:r>
        <w:t>L’acheteur et le soumissionnaire retenu peuvent procéder à une mise au point des composantes du marché public. Cette mise au point ne peut avoir pour objet de modifier des éléments substantiels de l'offre ou du présent marché.</w:t>
      </w:r>
    </w:p>
    <w:p w:rsidR="00C76715" w:rsidRDefault="00944E09">
      <w:pPr>
        <w:pStyle w:val="Titre2"/>
        <w:ind w:left="567" w:hanging="567"/>
      </w:pPr>
      <w:bookmarkStart w:id="44" w:name="_Toc234336729"/>
      <w:r>
        <w:t>Signature du marché public</w:t>
      </w:r>
      <w:bookmarkEnd w:id="44"/>
    </w:p>
    <w:p w:rsidR="00C76715" w:rsidRDefault="00944E09">
      <w:pPr>
        <w:spacing w:before="120" w:after="0" w:line="240" w:lineRule="auto"/>
        <w:ind w:left="0" w:firstLine="0"/>
      </w:pPr>
      <w:r>
        <w:t>La signature électronique est souhaitée prioritairement par l’acheteur.</w:t>
      </w:r>
    </w:p>
    <w:p w:rsidR="00C76715" w:rsidRDefault="00944E09">
      <w:pPr>
        <w:spacing w:before="120" w:after="0" w:line="240" w:lineRule="auto"/>
        <w:ind w:left="0" w:firstLine="0"/>
      </w:pPr>
      <w:r>
        <w:t>Le marché public est signé par le soumissionnaire retenu au moyen de l'acte d'engagement (formulaire ATTRI1) qui lui est adressé par l’acheteur.</w:t>
      </w:r>
    </w:p>
    <w:p w:rsidR="00C76715" w:rsidRDefault="00944E09">
      <w:pPr>
        <w:spacing w:before="120" w:after="0" w:line="240" w:lineRule="auto"/>
        <w:ind w:left="0" w:firstLine="0"/>
      </w:pPr>
      <w:r>
        <w:t>La signature électronique doit respecter les exigences prévues à l'article 10 « MODALITÉS DE SIGNATURE ÉLECTRONIQUE ».</w:t>
      </w:r>
    </w:p>
    <w:p w:rsidR="00C76715" w:rsidRDefault="00944E09">
      <w:pPr>
        <w:spacing w:before="120" w:after="0" w:line="240" w:lineRule="auto"/>
        <w:ind w:left="0" w:firstLine="0"/>
      </w:pPr>
      <w:r>
        <w:t>À défaut de disposer d’une signature électronique conforme lors de la phase d’attribution, l’attributaire appose la signature originale sur l’ATTRI1 et le fait parvenir au pouvoir adjudicateur dans le délai imparti.</w:t>
      </w:r>
    </w:p>
    <w:p w:rsidR="00C76715" w:rsidRDefault="00944E09">
      <w:pPr>
        <w:pStyle w:val="Titre1"/>
        <w:spacing w:before="360"/>
        <w:ind w:left="567" w:hanging="567"/>
      </w:pPr>
      <w:bookmarkStart w:id="45" w:name="_Toc234336730"/>
      <w:r>
        <w:t>LANGUE</w:t>
      </w:r>
      <w:bookmarkEnd w:id="45"/>
    </w:p>
    <w:p w:rsidR="00C76715" w:rsidRDefault="00944E09">
      <w:pPr>
        <w:spacing w:before="120" w:after="0" w:line="240" w:lineRule="auto"/>
        <w:ind w:left="0" w:firstLine="0"/>
      </w:pPr>
      <w:r>
        <w:t>Les documents et informations doivent être rédigés en langue française ou, à défaut, être accompagnés d'une traduction en français. En cas de candidature sous forme de DUME, ce dernier doit être rédigé en français.</w:t>
      </w:r>
    </w:p>
    <w:p w:rsidR="00C76715" w:rsidRDefault="00944E09">
      <w:pPr>
        <w:pStyle w:val="Titre1"/>
        <w:spacing w:before="360"/>
        <w:ind w:left="567" w:hanging="567"/>
        <w:rPr>
          <w:u w:val="single"/>
        </w:rPr>
      </w:pPr>
      <w:bookmarkStart w:id="46" w:name="_Toc234336731"/>
      <w:r>
        <w:rPr>
          <w:u w:val="single"/>
        </w:rPr>
        <w:t>CLAUSE DE CONFIDENTIALITE</w:t>
      </w:r>
      <w:bookmarkEnd w:id="46"/>
    </w:p>
    <w:p w:rsidR="00C76715" w:rsidRDefault="00944E09">
      <w:pPr>
        <w:spacing w:before="120" w:after="0" w:line="240" w:lineRule="auto"/>
        <w:ind w:left="0" w:firstLine="0"/>
      </w:pPr>
      <w:r>
        <w:t xml:space="preserve">Les soumissionnaires sont tenus de ne pas divulguer à des tiers n’ayant pas le besoin d’en connaître, </w:t>
      </w:r>
      <w:r>
        <w:lastRenderedPageBreak/>
        <w:t xml:space="preserve">le contenu de la présente procédure ainsi que celui de leurs plis d’offre durant ou après leur élaboration, jusqu’à l’accomplissement des formalités de publicité du marché. Lors de la phase candidature un accord de confidentialité signé par l’entreprise est </w:t>
      </w:r>
      <w:r>
        <w:rPr>
          <w:b/>
        </w:rPr>
        <w:t>obligatoire</w:t>
      </w:r>
      <w:r>
        <w:t>.</w:t>
      </w:r>
    </w:p>
    <w:p w:rsidR="00C76715" w:rsidRDefault="00944E09">
      <w:pPr>
        <w:spacing w:before="120" w:after="0" w:line="240" w:lineRule="auto"/>
        <w:ind w:left="0" w:firstLine="0"/>
      </w:pPr>
      <w:r>
        <w:t>Le candidat s’engage à respecter la confidentialité requise pour tous les éléments du marché qui lui sont communiqués, tant au stade de la candidature, que de l’offre, puis lors de l’exécution s’il devient titulaire du marché.</w:t>
      </w:r>
    </w:p>
    <w:p w:rsidR="00C76715" w:rsidRDefault="00944E09">
      <w:pPr>
        <w:pStyle w:val="Titre1"/>
        <w:spacing w:before="360"/>
        <w:ind w:left="567" w:hanging="567"/>
        <w:rPr>
          <w:u w:val="single"/>
        </w:rPr>
      </w:pPr>
      <w:bookmarkStart w:id="47" w:name="_Toc234336732"/>
      <w:r>
        <w:rPr>
          <w:u w:val="single"/>
        </w:rPr>
        <w:t>CONTENTIEUX</w:t>
      </w:r>
      <w:bookmarkEnd w:id="47"/>
    </w:p>
    <w:p w:rsidR="00C76715" w:rsidRDefault="00944E09">
      <w:pPr>
        <w:spacing w:before="120" w:after="0" w:line="240" w:lineRule="auto"/>
        <w:ind w:left="0" w:firstLine="0"/>
      </w:pPr>
      <w:r>
        <w:t xml:space="preserve">Voies et délais de recours : </w:t>
      </w:r>
    </w:p>
    <w:p w:rsidR="00C76715" w:rsidRDefault="00944E09">
      <w:pPr>
        <w:pStyle w:val="Standard"/>
        <w:numPr>
          <w:ilvl w:val="0"/>
          <w:numId w:val="3"/>
        </w:numPr>
        <w:spacing w:before="60"/>
        <w:ind w:left="284" w:hanging="284"/>
        <w:rPr>
          <w:rFonts w:cs="Arial"/>
          <w:sz w:val="22"/>
          <w:szCs w:val="22"/>
        </w:rPr>
      </w:pPr>
      <w:r>
        <w:rPr>
          <w:rFonts w:cs="Arial"/>
          <w:sz w:val="22"/>
          <w:szCs w:val="22"/>
        </w:rPr>
        <w:t>référé précontractuel (</w:t>
      </w:r>
      <w:hyperlink r:id="rId146">
        <w:r>
          <w:rPr>
            <w:rStyle w:val="Lienhypertexte"/>
            <w:rFonts w:cs="Arial"/>
            <w:sz w:val="22"/>
            <w:szCs w:val="22"/>
          </w:rPr>
          <w:t>article L.551-1</w:t>
        </w:r>
      </w:hyperlink>
      <w:r>
        <w:rPr>
          <w:rFonts w:cs="Arial"/>
          <w:sz w:val="22"/>
          <w:szCs w:val="22"/>
        </w:rPr>
        <w:t xml:space="preserve"> du Code de la justice administrative – CJA), la requête devant être introduite avant la conclusion du contrat ;</w:t>
      </w:r>
    </w:p>
    <w:p w:rsidR="00C76715" w:rsidRDefault="00944E09">
      <w:pPr>
        <w:pStyle w:val="Standard"/>
        <w:numPr>
          <w:ilvl w:val="0"/>
          <w:numId w:val="3"/>
        </w:numPr>
        <w:spacing w:before="60"/>
        <w:ind w:left="284" w:hanging="284"/>
        <w:rPr>
          <w:rFonts w:cs="Arial"/>
          <w:sz w:val="22"/>
          <w:szCs w:val="22"/>
        </w:rPr>
      </w:pPr>
      <w:r>
        <w:rPr>
          <w:rFonts w:cs="Arial"/>
          <w:sz w:val="22"/>
          <w:szCs w:val="22"/>
        </w:rPr>
        <w:t>recours pour excès de pouvoir contre la décision du pouvoir adjudicateur d'abandonner la procédure de marché en la rendant infructueuse ou sans suite et/ou les clauses réglementaires du contrat dans un délai de deux mois (</w:t>
      </w:r>
      <w:hyperlink r:id="rId147">
        <w:r>
          <w:rPr>
            <w:rStyle w:val="Lienhypertexte"/>
            <w:rFonts w:cs="Arial"/>
            <w:sz w:val="22"/>
            <w:szCs w:val="22"/>
          </w:rPr>
          <w:t>article R.421-1</w:t>
        </w:r>
      </w:hyperlink>
      <w:r>
        <w:rPr>
          <w:rFonts w:cs="Arial"/>
          <w:sz w:val="22"/>
          <w:szCs w:val="22"/>
        </w:rPr>
        <w:t xml:space="preserve"> du CJA) à compter de la publication ou notification de la décision attaquée ;</w:t>
      </w:r>
    </w:p>
    <w:p w:rsidR="00C76715" w:rsidRDefault="00944E09">
      <w:pPr>
        <w:pStyle w:val="Standard"/>
        <w:numPr>
          <w:ilvl w:val="0"/>
          <w:numId w:val="3"/>
        </w:numPr>
        <w:spacing w:before="60"/>
        <w:ind w:left="284" w:hanging="284"/>
        <w:rPr>
          <w:rFonts w:cs="Arial"/>
          <w:sz w:val="22"/>
          <w:szCs w:val="22"/>
        </w:rPr>
      </w:pPr>
      <w:r>
        <w:rPr>
          <w:rFonts w:cs="Arial"/>
          <w:sz w:val="22"/>
          <w:szCs w:val="22"/>
        </w:rPr>
        <w:t>référé contractuel (</w:t>
      </w:r>
      <w:hyperlink r:id="rId148">
        <w:r>
          <w:rPr>
            <w:rStyle w:val="Lienhypertexte"/>
            <w:rFonts w:cs="Arial"/>
            <w:sz w:val="22"/>
            <w:szCs w:val="22"/>
          </w:rPr>
          <w:t>article L.551-13</w:t>
        </w:r>
      </w:hyperlink>
      <w:r>
        <w:rPr>
          <w:rFonts w:cs="Arial"/>
          <w:sz w:val="22"/>
          <w:szCs w:val="22"/>
        </w:rPr>
        <w:t xml:space="preserve"> du CJA) dans un délai de trente-et-un jours à compter de la publication de l'avis d'attribution (ou, à défaut d'un tel avis, dans un délai de six mois à compter de la conclusion du contrat) ;</w:t>
      </w:r>
    </w:p>
    <w:p w:rsidR="00C76715" w:rsidRDefault="00944E09">
      <w:pPr>
        <w:pStyle w:val="Standard"/>
        <w:numPr>
          <w:ilvl w:val="0"/>
          <w:numId w:val="3"/>
        </w:numPr>
        <w:spacing w:before="60"/>
        <w:ind w:left="284" w:hanging="284"/>
        <w:rPr>
          <w:rFonts w:cs="Arial"/>
          <w:sz w:val="22"/>
          <w:szCs w:val="22"/>
        </w:rPr>
      </w:pPr>
      <w:r>
        <w:rPr>
          <w:rFonts w:cs="Arial"/>
          <w:sz w:val="22"/>
          <w:szCs w:val="22"/>
        </w:rPr>
        <w:t xml:space="preserve">recours en contestation de validité du contrat (recours de pleine juridiction prévu par la décision du </w:t>
      </w:r>
      <w:hyperlink r:id="rId149">
        <w:r>
          <w:rPr>
            <w:rStyle w:val="Lienhypertexte"/>
            <w:rFonts w:cs="Arial"/>
            <w:sz w:val="22"/>
            <w:szCs w:val="22"/>
          </w:rPr>
          <w:t>Conseil d'État du 4 avril 2014 Département du Tarn-et-Garonne</w:t>
        </w:r>
      </w:hyperlink>
      <w:r>
        <w:rPr>
          <w:rFonts w:cs="Arial"/>
          <w:sz w:val="22"/>
          <w:szCs w:val="22"/>
        </w:rPr>
        <w:t xml:space="preserve">, </w:t>
      </w:r>
      <w:r>
        <w:rPr>
          <w:rFonts w:ascii="Marianne" w:hAnsi="Marianne" w:cs="Arial"/>
          <w:sz w:val="22"/>
          <w:szCs w:val="22"/>
        </w:rPr>
        <w:t>n°358994</w:t>
      </w:r>
      <w:r>
        <w:rPr>
          <w:rFonts w:cs="Arial"/>
          <w:sz w:val="22"/>
          <w:szCs w:val="22"/>
        </w:rPr>
        <w:t>) par tout tiers susceptible d'être lésé dans ses intérêts, assorti, le cas échéant, de conclusions indemnitaires, dans un délai de deux mois à compter de la publicité de la conclusion du marché ;</w:t>
      </w:r>
    </w:p>
    <w:p w:rsidR="00C76715" w:rsidRDefault="00944E09">
      <w:pPr>
        <w:pStyle w:val="Standard"/>
        <w:numPr>
          <w:ilvl w:val="0"/>
          <w:numId w:val="3"/>
        </w:numPr>
        <w:spacing w:before="60"/>
        <w:ind w:left="284" w:hanging="284"/>
        <w:rPr>
          <w:rFonts w:cs="Arial"/>
          <w:sz w:val="22"/>
          <w:szCs w:val="22"/>
        </w:rPr>
      </w:pPr>
      <w:r>
        <w:rPr>
          <w:rFonts w:cs="Arial"/>
          <w:sz w:val="22"/>
          <w:szCs w:val="22"/>
        </w:rPr>
        <w:t>recours indemnitaire (</w:t>
      </w:r>
      <w:hyperlink r:id="rId150" w:anchor="LEGISCTA000006136478" w:history="1">
        <w:r>
          <w:rPr>
            <w:rStyle w:val="Lienhypertexte"/>
            <w:rFonts w:cs="Arial"/>
            <w:sz w:val="22"/>
            <w:szCs w:val="22"/>
          </w:rPr>
          <w:t>article R.421-1 et suivants</w:t>
        </w:r>
      </w:hyperlink>
      <w:r>
        <w:rPr>
          <w:rFonts w:cs="Arial"/>
          <w:sz w:val="22"/>
          <w:szCs w:val="22"/>
        </w:rPr>
        <w:t xml:space="preserve"> du CJA), dans les deux mois à compter d'une décision expresse ou sans délai pour une décision implicite rejetant une demande préalable et sous réserve des dispositions relatives à la prescription quadriennale.</w:t>
      </w:r>
    </w:p>
    <w:p w:rsidR="00C76715" w:rsidRDefault="00944E09">
      <w:pPr>
        <w:spacing w:before="120" w:after="0" w:line="240" w:lineRule="auto"/>
        <w:ind w:left="0" w:firstLine="0"/>
      </w:pPr>
      <w:r>
        <w:t xml:space="preserve">Le tribunal compétent est le tribunal administratif de : </w:t>
      </w:r>
    </w:p>
    <w:p w:rsidR="00C76715" w:rsidRDefault="00944E09">
      <w:pPr>
        <w:spacing w:before="60" w:after="0" w:line="240" w:lineRule="auto"/>
        <w:ind w:left="0" w:firstLine="0"/>
      </w:pPr>
      <w:r>
        <w:t>Tribunal Administratif de Nancy</w:t>
      </w:r>
    </w:p>
    <w:p w:rsidR="00C76715" w:rsidRDefault="00944E09">
      <w:pPr>
        <w:spacing w:before="60" w:after="0" w:line="240" w:lineRule="auto"/>
        <w:ind w:left="0" w:firstLine="0"/>
      </w:pPr>
      <w:r>
        <w:t>5, place de la Carrière, 54036 Nancy Cedex</w:t>
      </w:r>
    </w:p>
    <w:p w:rsidR="00C76715" w:rsidRDefault="00944E09">
      <w:pPr>
        <w:spacing w:before="60" w:after="0" w:line="240" w:lineRule="auto"/>
        <w:ind w:left="0" w:firstLine="0"/>
      </w:pPr>
      <w:r>
        <w:t xml:space="preserve">Tél. : 03.83.17.43.43, courriel : </w:t>
      </w:r>
      <w:r>
        <w:rPr>
          <w:color w:val="0563C1"/>
          <w:u w:val="single" w:color="0563C1"/>
        </w:rPr>
        <w:t>greffe.ta-nancy@juradm.fr</w:t>
      </w:r>
    </w:p>
    <w:p w:rsidR="00C76715" w:rsidRDefault="00944E09">
      <w:pPr>
        <w:spacing w:before="60" w:after="0" w:line="240" w:lineRule="auto"/>
        <w:ind w:left="0" w:firstLine="0"/>
      </w:pPr>
      <w:r>
        <w:t>Service auprès duquel des renseignements peuvent être obtenus concernant l'introduction des</w:t>
      </w:r>
      <w:r>
        <w:br/>
        <w:t xml:space="preserve">recours : </w:t>
      </w:r>
    </w:p>
    <w:p w:rsidR="00C76715" w:rsidRDefault="00944E09">
      <w:pPr>
        <w:spacing w:before="60" w:after="0" w:line="240" w:lineRule="auto"/>
        <w:ind w:left="0" w:firstLine="0"/>
      </w:pPr>
      <w:r>
        <w:t>Centre de soutien technique et administratif (CSTA)</w:t>
      </w:r>
    </w:p>
    <w:p w:rsidR="00C76715" w:rsidRDefault="00944E09">
      <w:pPr>
        <w:spacing w:before="60" w:after="0" w:line="240" w:lineRule="auto"/>
        <w:ind w:left="0" w:firstLine="0"/>
      </w:pPr>
      <w:r>
        <w:t>47 rue Sainte Catherine - CS 60016- 54035 Nancy Cedex</w:t>
      </w:r>
    </w:p>
    <w:p w:rsidR="00C76715" w:rsidRDefault="00944E09">
      <w:pPr>
        <w:spacing w:before="60" w:after="0" w:line="240" w:lineRule="auto"/>
        <w:ind w:left="0" w:firstLine="0"/>
      </w:pPr>
      <w:r>
        <w:t>Tél. : 03.83.19.35.38</w:t>
      </w:r>
    </w:p>
    <w:p w:rsidR="00C76715" w:rsidRDefault="00944E09">
      <w:pPr>
        <w:spacing w:before="60" w:after="0" w:line="240" w:lineRule="auto"/>
        <w:ind w:left="0" w:firstLine="0"/>
      </w:pPr>
      <w:r>
        <w:t xml:space="preserve">Courriel : </w:t>
      </w:r>
      <w:r>
        <w:rPr>
          <w:color w:val="0563C1"/>
          <w:u w:val="single" w:color="0563C1"/>
        </w:rPr>
        <w:t>csta-ba-infra.contact.fct@intradef.gouv.fr</w:t>
      </w:r>
    </w:p>
    <w:p w:rsidR="00C76715" w:rsidRDefault="00944E09">
      <w:pPr>
        <w:pStyle w:val="Titre1"/>
        <w:spacing w:before="360"/>
        <w:ind w:left="567" w:hanging="567"/>
        <w:rPr>
          <w:u w:val="single"/>
        </w:rPr>
      </w:pPr>
      <w:r>
        <w:tab/>
      </w:r>
      <w:bookmarkStart w:id="48" w:name="_Toc234336733"/>
      <w:r>
        <w:rPr>
          <w:u w:val="single"/>
        </w:rPr>
        <w:t>MODALITÉS DE SIGNATURE ÉLECTRONIQUE</w:t>
      </w:r>
      <w:bookmarkEnd w:id="48"/>
    </w:p>
    <w:p w:rsidR="00C76715" w:rsidRDefault="00944E09">
      <w:pPr>
        <w:spacing w:before="120" w:after="0" w:line="240" w:lineRule="auto"/>
        <w:ind w:left="0" w:firstLine="0"/>
      </w:pPr>
      <w:r>
        <w:t>Chaque document à signer doit être signé individuellement.</w:t>
      </w:r>
    </w:p>
    <w:p w:rsidR="00C76715" w:rsidRDefault="00C76715">
      <w:pPr>
        <w:spacing w:before="120" w:after="0" w:line="240" w:lineRule="auto"/>
        <w:ind w:left="0" w:firstLine="0"/>
      </w:pPr>
    </w:p>
    <w:p w:rsidR="00C76715" w:rsidRDefault="00944E09">
      <w:pPr>
        <w:spacing w:before="120" w:after="0" w:line="240" w:lineRule="auto"/>
        <w:ind w:left="0" w:firstLine="0"/>
      </w:pPr>
      <w:r>
        <w:t>L'ATTRI1 retourné in fine par le soumissionnaire (après retour du pouvoir adjudicateur comme mentionné à l’article 7.3 supra) sera signé au format PDF.</w:t>
      </w:r>
    </w:p>
    <w:p w:rsidR="00C76715" w:rsidRDefault="00C76715">
      <w:pPr>
        <w:spacing w:before="120" w:after="0" w:line="240" w:lineRule="auto"/>
        <w:ind w:left="0" w:firstLine="0"/>
      </w:pPr>
    </w:p>
    <w:p w:rsidR="00C76715" w:rsidRDefault="00944E09">
      <w:pPr>
        <w:spacing w:before="120" w:after="0" w:line="240" w:lineRule="auto"/>
        <w:ind w:left="0" w:firstLine="0"/>
      </w:pPr>
      <w:r>
        <w:t>D’une manière générale, la signature des documents est souhaitée de préférence au format PDF intégrant une signature conforme aux exigences du présent article au format PAdES. Il est demandé de veiller à autoriser l’apposition des signatures ultérieures sur les documents signés.</w:t>
      </w:r>
    </w:p>
    <w:p w:rsidR="00C76715" w:rsidRDefault="00C76715">
      <w:pPr>
        <w:spacing w:before="120" w:after="0" w:line="240" w:lineRule="auto"/>
        <w:ind w:left="0" w:firstLine="0"/>
      </w:pPr>
    </w:p>
    <w:p w:rsidR="00C76715" w:rsidRDefault="00944E09">
      <w:pPr>
        <w:spacing w:before="120" w:after="0" w:line="240" w:lineRule="auto"/>
        <w:ind w:left="0" w:firstLine="0"/>
      </w:pPr>
      <w:r>
        <w:t>Un dossier compressé signé ne vaut pas signature des documents qu'il contient. Quel que soit le format du dossier compressé, chaque document pour lequel une signature est requise doit être signé séparément.</w:t>
      </w:r>
    </w:p>
    <w:p w:rsidR="00C76715" w:rsidRDefault="00C76715">
      <w:pPr>
        <w:spacing w:before="120" w:after="0" w:line="240" w:lineRule="auto"/>
        <w:ind w:left="0" w:firstLine="0"/>
      </w:pPr>
    </w:p>
    <w:p w:rsidR="00C76715" w:rsidRDefault="00944E09">
      <w:pPr>
        <w:spacing w:before="120" w:after="0" w:line="240" w:lineRule="auto"/>
        <w:ind w:left="0" w:firstLine="0"/>
      </w:pPr>
      <w:r>
        <w:t xml:space="preserve">Des renseignements complémentaires au sujet de la signature électronique peuvent être obtenus : </w:t>
      </w:r>
    </w:p>
    <w:p w:rsidR="00C76715" w:rsidRDefault="00944E09">
      <w:pPr>
        <w:pStyle w:val="Standard"/>
        <w:numPr>
          <w:ilvl w:val="0"/>
          <w:numId w:val="2"/>
        </w:numPr>
        <w:spacing w:before="60"/>
        <w:ind w:left="284" w:hanging="284"/>
        <w:rPr>
          <w:rFonts w:cs="Arial"/>
          <w:sz w:val="22"/>
          <w:szCs w:val="22"/>
        </w:rPr>
      </w:pPr>
      <w:r>
        <w:rPr>
          <w:rFonts w:cs="Arial"/>
          <w:sz w:val="22"/>
          <w:szCs w:val="22"/>
        </w:rPr>
        <w:t>dans PLACE (guide d'utilisation- utilisateur entreprise) ;</w:t>
      </w:r>
    </w:p>
    <w:p w:rsidR="00C76715" w:rsidRDefault="00944E09">
      <w:pPr>
        <w:pStyle w:val="Standard"/>
        <w:numPr>
          <w:ilvl w:val="0"/>
          <w:numId w:val="2"/>
        </w:numPr>
        <w:spacing w:before="60"/>
        <w:ind w:left="284" w:hanging="284"/>
        <w:rPr>
          <w:rFonts w:cs="Arial"/>
          <w:sz w:val="22"/>
          <w:szCs w:val="22"/>
        </w:rPr>
      </w:pPr>
      <w:r>
        <w:rPr>
          <w:rFonts w:cs="Arial"/>
          <w:sz w:val="22"/>
          <w:szCs w:val="22"/>
        </w:rPr>
        <w:t>dans le guide « très pratique » sur la dématérialisation des marchés publics (version opérateurs économiques) disponible sur le site internet de la Direction des affaires juridiques du ministère de l’Économie, des Finances et de la Souveraineté industrielle et numérique.</w:t>
      </w:r>
    </w:p>
    <w:p w:rsidR="00C76715" w:rsidRDefault="00944E09">
      <w:pPr>
        <w:spacing w:before="120" w:after="0" w:line="240" w:lineRule="auto"/>
        <w:ind w:left="0" w:firstLine="0"/>
      </w:pPr>
      <w:r>
        <w:t>En application de l'</w:t>
      </w:r>
      <w:hyperlink r:id="rId151">
        <w:r>
          <w:rPr>
            <w:rStyle w:val="Lienhypertexte"/>
          </w:rPr>
          <w:t>arrêté du 22 mars 2019 relatif à la signature électronique des contrats de la commande publique</w:t>
        </w:r>
      </w:hyperlink>
      <w:r>
        <w:t xml:space="preserve">, le signataire doit respecter les conditions relatives : </w:t>
      </w:r>
    </w:p>
    <w:p w:rsidR="00C76715" w:rsidRDefault="00944E09">
      <w:pPr>
        <w:pStyle w:val="Standard"/>
        <w:numPr>
          <w:ilvl w:val="0"/>
          <w:numId w:val="4"/>
        </w:numPr>
        <w:spacing w:before="60"/>
        <w:ind w:left="284" w:hanging="284"/>
        <w:rPr>
          <w:rFonts w:cs="Arial"/>
          <w:sz w:val="22"/>
          <w:szCs w:val="22"/>
        </w:rPr>
      </w:pPr>
      <w:r>
        <w:rPr>
          <w:rFonts w:cs="Arial"/>
          <w:sz w:val="22"/>
          <w:szCs w:val="22"/>
        </w:rPr>
        <w:t>au certificat de signature électronique ;</w:t>
      </w:r>
    </w:p>
    <w:p w:rsidR="00C76715" w:rsidRDefault="00944E09">
      <w:pPr>
        <w:pStyle w:val="Standard"/>
        <w:numPr>
          <w:ilvl w:val="0"/>
          <w:numId w:val="4"/>
        </w:numPr>
        <w:spacing w:before="60"/>
        <w:ind w:left="284" w:hanging="284"/>
        <w:rPr>
          <w:rFonts w:cs="Arial"/>
          <w:sz w:val="22"/>
          <w:szCs w:val="22"/>
        </w:rPr>
      </w:pPr>
      <w:r>
        <w:rPr>
          <w:rFonts w:cs="Arial"/>
          <w:sz w:val="22"/>
          <w:szCs w:val="22"/>
        </w:rPr>
        <w:t>à l'outil de signature électronique (appelé aussi « dispositif de création de signature électronique »).</w:t>
      </w:r>
    </w:p>
    <w:p w:rsidR="00C76715" w:rsidRDefault="00C76715">
      <w:pPr>
        <w:spacing w:before="120" w:after="0" w:line="240" w:lineRule="auto"/>
        <w:ind w:left="0" w:firstLine="0"/>
      </w:pPr>
    </w:p>
    <w:p w:rsidR="00C76715" w:rsidRDefault="00944E09">
      <w:pPr>
        <w:spacing w:before="120" w:after="0" w:line="240" w:lineRule="auto"/>
        <w:ind w:left="0" w:firstLine="0"/>
      </w:pPr>
      <w:r>
        <w:t xml:space="preserve">La signature électronique doit reposer sur un certificat qualifié, conforme au </w:t>
      </w:r>
      <w:hyperlink r:id="rId152">
        <w:r>
          <w:rPr>
            <w:rStyle w:val="Lienhypertexte"/>
          </w:rPr>
          <w:t>Règlement (UE) n°910/2014 du Parlement européen et du Conseil du 23 juillet 2014</w:t>
        </w:r>
      </w:hyperlink>
      <w:r>
        <w:t xml:space="preserve"> sur l'identification électronique et les services de confiance pour les transactions électroniques au sein du marché intérieur (eIDAS).</w:t>
      </w:r>
    </w:p>
    <w:p w:rsidR="00C76715" w:rsidRDefault="00944E09">
      <w:pPr>
        <w:spacing w:before="120" w:after="0" w:line="240" w:lineRule="auto"/>
        <w:ind w:left="0" w:firstLine="0"/>
      </w:pPr>
      <w:r>
        <w:t xml:space="preserve">Sont autorisées : </w:t>
      </w:r>
    </w:p>
    <w:p w:rsidR="00C76715" w:rsidRDefault="00944E09">
      <w:pPr>
        <w:spacing w:before="60" w:after="0" w:line="240" w:lineRule="auto"/>
        <w:ind w:left="284" w:hanging="284"/>
      </w:pPr>
      <w:r>
        <w:rPr>
          <w:rFonts w:eastAsia="Segoe UI Symbol"/>
        </w:rPr>
        <w:t>-</w:t>
      </w:r>
      <w:r>
        <w:tab/>
        <w:t>la signature électronique avancée avec certificat qualifié (niveau 3) ;</w:t>
      </w:r>
    </w:p>
    <w:p w:rsidR="00C76715" w:rsidRDefault="00944E09">
      <w:pPr>
        <w:spacing w:before="60" w:after="0" w:line="240" w:lineRule="auto"/>
        <w:ind w:left="284" w:hanging="284"/>
      </w:pPr>
      <w:r>
        <w:rPr>
          <w:rFonts w:eastAsia="Segoe UI Symbol"/>
        </w:rPr>
        <w:t>-</w:t>
      </w:r>
      <w:r>
        <w:tab/>
        <w:t>la signature électronique qualifiée (niveau 4).</w:t>
      </w:r>
    </w:p>
    <w:p w:rsidR="00C76715" w:rsidRDefault="00944E09">
      <w:pPr>
        <w:pStyle w:val="Titre1"/>
        <w:spacing w:before="360"/>
        <w:ind w:left="567" w:hanging="567"/>
        <w:rPr>
          <w:u w:val="single"/>
        </w:rPr>
      </w:pPr>
      <w:bookmarkStart w:id="49" w:name="_Toc234336734"/>
      <w:r>
        <w:rPr>
          <w:u w:val="single"/>
        </w:rPr>
        <w:t>ANNEXES</w:t>
      </w:r>
      <w:bookmarkEnd w:id="49"/>
    </w:p>
    <w:p w:rsidR="00C76715" w:rsidRDefault="00C76715"/>
    <w:p w:rsidR="00C76715" w:rsidRDefault="00C76715"/>
    <w:tbl>
      <w:tblPr>
        <w:tblStyle w:val="Grilledutableau2"/>
        <w:tblW w:w="9674" w:type="dxa"/>
        <w:tblInd w:w="87" w:type="dxa"/>
        <w:tblLayout w:type="fixed"/>
        <w:tblLook w:val="04A0" w:firstRow="1" w:lastRow="0" w:firstColumn="1" w:lastColumn="0" w:noHBand="0" w:noVBand="1"/>
      </w:tblPr>
      <w:tblGrid>
        <w:gridCol w:w="1450"/>
        <w:gridCol w:w="8224"/>
      </w:tblGrid>
      <w:tr w:rsidR="00C76715">
        <w:tc>
          <w:tcPr>
            <w:tcW w:w="1450" w:type="dxa"/>
            <w:shd w:val="clear" w:color="auto" w:fill="DEEAF6" w:themeFill="accent1" w:themeFillTint="33"/>
          </w:tcPr>
          <w:p w:rsidR="00C76715" w:rsidRDefault="00944E09">
            <w:pPr>
              <w:widowControl w:val="0"/>
              <w:spacing w:after="240" w:line="259" w:lineRule="auto"/>
              <w:ind w:left="0" w:firstLine="0"/>
              <w:contextualSpacing/>
              <w:textAlignment w:val="baseline"/>
              <w:rPr>
                <w:rFonts w:eastAsia="Calibri"/>
                <w:b/>
                <w:color w:val="auto"/>
                <w:lang w:eastAsia="en-US"/>
              </w:rPr>
            </w:pPr>
            <w:r>
              <w:rPr>
                <w:rFonts w:eastAsia="Calibri"/>
                <w:b/>
                <w:color w:val="auto"/>
                <w:kern w:val="2"/>
                <w:lang w:eastAsia="en-US"/>
              </w:rPr>
              <w:t>N° annexe</w:t>
            </w:r>
          </w:p>
        </w:tc>
        <w:tc>
          <w:tcPr>
            <w:tcW w:w="8223" w:type="dxa"/>
            <w:shd w:val="clear" w:color="auto" w:fill="DEEAF6" w:themeFill="accent1" w:themeFillTint="33"/>
          </w:tcPr>
          <w:p w:rsidR="00C76715" w:rsidRDefault="00944E09">
            <w:pPr>
              <w:widowControl w:val="0"/>
              <w:spacing w:after="240" w:line="259" w:lineRule="auto"/>
              <w:ind w:left="0" w:firstLine="0"/>
              <w:contextualSpacing/>
              <w:textAlignment w:val="baseline"/>
              <w:rPr>
                <w:rFonts w:eastAsia="Calibri"/>
                <w:b/>
                <w:color w:val="auto"/>
                <w:lang w:eastAsia="en-US"/>
              </w:rPr>
            </w:pPr>
            <w:r>
              <w:rPr>
                <w:rFonts w:eastAsia="Calibri"/>
                <w:b/>
                <w:color w:val="auto"/>
                <w:kern w:val="2"/>
                <w:lang w:eastAsia="en-US"/>
              </w:rPr>
              <w:t>Objet</w:t>
            </w:r>
          </w:p>
        </w:tc>
      </w:tr>
      <w:tr w:rsidR="00C76715">
        <w:tc>
          <w:tcPr>
            <w:tcW w:w="1450" w:type="dxa"/>
            <w:shd w:val="clear" w:color="auto" w:fill="auto"/>
          </w:tcPr>
          <w:p w:rsidR="00C76715" w:rsidRDefault="00944E09">
            <w:pPr>
              <w:widowControl w:val="0"/>
              <w:spacing w:after="240" w:line="259" w:lineRule="auto"/>
              <w:ind w:left="0" w:firstLine="0"/>
              <w:contextualSpacing/>
              <w:jc w:val="center"/>
              <w:textAlignment w:val="baseline"/>
              <w:rPr>
                <w:rFonts w:eastAsia="Calibri"/>
                <w:color w:val="auto"/>
                <w:lang w:eastAsia="en-US"/>
              </w:rPr>
            </w:pPr>
            <w:r>
              <w:rPr>
                <w:rFonts w:eastAsia="Calibri"/>
                <w:color w:val="auto"/>
                <w:kern w:val="2"/>
                <w:lang w:eastAsia="en-US"/>
              </w:rPr>
              <w:t>1</w:t>
            </w:r>
          </w:p>
        </w:tc>
        <w:tc>
          <w:tcPr>
            <w:tcW w:w="8223" w:type="dxa"/>
            <w:shd w:val="clear" w:color="auto" w:fill="auto"/>
          </w:tcPr>
          <w:p w:rsidR="00C76715" w:rsidRDefault="00944E09">
            <w:pPr>
              <w:widowControl w:val="0"/>
              <w:spacing w:after="240" w:line="259" w:lineRule="auto"/>
              <w:ind w:left="0" w:firstLine="0"/>
              <w:contextualSpacing/>
              <w:jc w:val="left"/>
              <w:textAlignment w:val="baseline"/>
              <w:rPr>
                <w:rFonts w:eastAsia="Calibri"/>
                <w:color w:val="auto"/>
                <w:lang w:eastAsia="en-US"/>
              </w:rPr>
            </w:pPr>
            <w:r>
              <w:rPr>
                <w:rFonts w:eastAsia="Calibri"/>
                <w:color w:val="auto"/>
                <w:kern w:val="2"/>
                <w:lang w:eastAsia="en-US"/>
              </w:rPr>
              <w:t>DC1</w:t>
            </w:r>
          </w:p>
        </w:tc>
      </w:tr>
      <w:tr w:rsidR="00C76715">
        <w:tc>
          <w:tcPr>
            <w:tcW w:w="1450" w:type="dxa"/>
            <w:shd w:val="clear" w:color="auto" w:fill="auto"/>
          </w:tcPr>
          <w:p w:rsidR="00C76715" w:rsidRDefault="00944E09">
            <w:pPr>
              <w:widowControl w:val="0"/>
              <w:spacing w:after="240" w:line="259" w:lineRule="auto"/>
              <w:ind w:left="0" w:firstLine="0"/>
              <w:contextualSpacing/>
              <w:jc w:val="center"/>
              <w:textAlignment w:val="baseline"/>
              <w:rPr>
                <w:rFonts w:eastAsia="Calibri"/>
                <w:color w:val="auto"/>
                <w:lang w:eastAsia="en-US"/>
              </w:rPr>
            </w:pPr>
            <w:r>
              <w:rPr>
                <w:rFonts w:eastAsia="Calibri"/>
                <w:color w:val="auto"/>
                <w:kern w:val="2"/>
                <w:lang w:eastAsia="en-US"/>
              </w:rPr>
              <w:t>2</w:t>
            </w:r>
          </w:p>
        </w:tc>
        <w:tc>
          <w:tcPr>
            <w:tcW w:w="8223" w:type="dxa"/>
            <w:shd w:val="clear" w:color="auto" w:fill="auto"/>
          </w:tcPr>
          <w:p w:rsidR="00C76715" w:rsidRDefault="00944E09">
            <w:pPr>
              <w:widowControl w:val="0"/>
              <w:spacing w:after="240" w:line="259" w:lineRule="auto"/>
              <w:ind w:left="0" w:firstLine="0"/>
              <w:contextualSpacing/>
              <w:jc w:val="left"/>
              <w:textAlignment w:val="baseline"/>
              <w:rPr>
                <w:rFonts w:eastAsia="Calibri"/>
                <w:color w:val="auto"/>
                <w:lang w:eastAsia="en-US"/>
              </w:rPr>
            </w:pPr>
            <w:r>
              <w:rPr>
                <w:rFonts w:eastAsia="Calibri"/>
                <w:color w:val="auto"/>
                <w:kern w:val="2"/>
                <w:lang w:eastAsia="en-US"/>
              </w:rPr>
              <w:t>DC2</w:t>
            </w:r>
          </w:p>
        </w:tc>
      </w:tr>
      <w:tr w:rsidR="00C76715">
        <w:tc>
          <w:tcPr>
            <w:tcW w:w="1450" w:type="dxa"/>
            <w:shd w:val="clear" w:color="auto" w:fill="auto"/>
          </w:tcPr>
          <w:p w:rsidR="00C76715" w:rsidRDefault="00944E09">
            <w:pPr>
              <w:widowControl w:val="0"/>
              <w:spacing w:after="240" w:line="259" w:lineRule="auto"/>
              <w:ind w:left="0" w:firstLine="0"/>
              <w:contextualSpacing/>
              <w:jc w:val="center"/>
              <w:textAlignment w:val="baseline"/>
              <w:rPr>
                <w:rFonts w:eastAsia="Calibri"/>
                <w:color w:val="auto"/>
                <w:lang w:eastAsia="en-US"/>
              </w:rPr>
            </w:pPr>
            <w:r>
              <w:rPr>
                <w:rFonts w:eastAsia="Calibri"/>
                <w:color w:val="auto"/>
                <w:kern w:val="2"/>
                <w:lang w:eastAsia="en-US"/>
              </w:rPr>
              <w:t>3</w:t>
            </w:r>
          </w:p>
        </w:tc>
        <w:tc>
          <w:tcPr>
            <w:tcW w:w="8223" w:type="dxa"/>
            <w:shd w:val="clear" w:color="auto" w:fill="auto"/>
          </w:tcPr>
          <w:p w:rsidR="00C76715" w:rsidRDefault="00944E09">
            <w:pPr>
              <w:widowControl w:val="0"/>
              <w:spacing w:after="240" w:line="259" w:lineRule="auto"/>
              <w:ind w:left="0" w:firstLine="0"/>
              <w:contextualSpacing/>
              <w:jc w:val="left"/>
              <w:textAlignment w:val="baseline"/>
              <w:rPr>
                <w:rFonts w:eastAsia="Calibri"/>
                <w:color w:val="auto"/>
                <w:lang w:eastAsia="en-US"/>
              </w:rPr>
            </w:pPr>
            <w:r>
              <w:rPr>
                <w:rFonts w:eastAsia="Calibri"/>
                <w:color w:val="auto"/>
                <w:kern w:val="2"/>
                <w:lang w:eastAsia="en-US"/>
              </w:rPr>
              <w:t>Cadre de réponse – indicateurs financiers</w:t>
            </w:r>
          </w:p>
        </w:tc>
      </w:tr>
      <w:tr w:rsidR="00C76715">
        <w:tc>
          <w:tcPr>
            <w:tcW w:w="1450" w:type="dxa"/>
            <w:shd w:val="clear" w:color="auto" w:fill="auto"/>
          </w:tcPr>
          <w:p w:rsidR="00C76715" w:rsidRDefault="00944E09">
            <w:pPr>
              <w:widowControl w:val="0"/>
              <w:spacing w:after="240" w:line="259" w:lineRule="auto"/>
              <w:ind w:left="0" w:firstLine="0"/>
              <w:contextualSpacing/>
              <w:jc w:val="center"/>
              <w:textAlignment w:val="baseline"/>
              <w:rPr>
                <w:rFonts w:eastAsia="Calibri"/>
                <w:color w:val="auto"/>
                <w:lang w:eastAsia="en-US"/>
              </w:rPr>
            </w:pPr>
            <w:r>
              <w:rPr>
                <w:rFonts w:eastAsia="Calibri"/>
                <w:color w:val="auto"/>
                <w:kern w:val="2"/>
                <w:lang w:eastAsia="en-US"/>
              </w:rPr>
              <w:t>4</w:t>
            </w:r>
          </w:p>
        </w:tc>
        <w:tc>
          <w:tcPr>
            <w:tcW w:w="8223" w:type="dxa"/>
            <w:shd w:val="clear" w:color="auto" w:fill="auto"/>
          </w:tcPr>
          <w:p w:rsidR="00C76715" w:rsidRDefault="00944E09">
            <w:pPr>
              <w:widowControl w:val="0"/>
              <w:spacing w:after="240" w:line="259" w:lineRule="auto"/>
              <w:ind w:left="0" w:firstLine="0"/>
              <w:contextualSpacing/>
              <w:jc w:val="left"/>
              <w:textAlignment w:val="baseline"/>
              <w:rPr>
                <w:rFonts w:eastAsia="Calibri"/>
                <w:color w:val="auto"/>
                <w:lang w:eastAsia="en-US"/>
              </w:rPr>
            </w:pPr>
            <w:r>
              <w:rPr>
                <w:rFonts w:eastAsia="Calibri"/>
                <w:color w:val="auto"/>
                <w:kern w:val="2"/>
                <w:lang w:eastAsia="en-US"/>
              </w:rPr>
              <w:t>Courriels et Points de contact – Organisation des visites pour la phase offre</w:t>
            </w:r>
          </w:p>
        </w:tc>
      </w:tr>
      <w:tr w:rsidR="00C76715">
        <w:tc>
          <w:tcPr>
            <w:tcW w:w="1450" w:type="dxa"/>
            <w:shd w:val="clear" w:color="auto" w:fill="auto"/>
          </w:tcPr>
          <w:p w:rsidR="00C76715" w:rsidRDefault="00944E09">
            <w:pPr>
              <w:widowControl w:val="0"/>
              <w:spacing w:after="240" w:line="259" w:lineRule="auto"/>
              <w:ind w:left="0" w:firstLine="0"/>
              <w:contextualSpacing/>
              <w:jc w:val="center"/>
              <w:textAlignment w:val="baseline"/>
              <w:rPr>
                <w:rFonts w:eastAsia="Calibri"/>
                <w:color w:val="auto"/>
                <w:lang w:eastAsia="en-US"/>
              </w:rPr>
            </w:pPr>
            <w:r>
              <w:rPr>
                <w:rFonts w:eastAsia="Calibri"/>
                <w:color w:val="auto"/>
                <w:kern w:val="2"/>
                <w:lang w:eastAsia="en-US"/>
              </w:rPr>
              <w:t>5</w:t>
            </w:r>
          </w:p>
        </w:tc>
        <w:tc>
          <w:tcPr>
            <w:tcW w:w="8223" w:type="dxa"/>
            <w:shd w:val="clear" w:color="auto" w:fill="auto"/>
          </w:tcPr>
          <w:p w:rsidR="00C76715" w:rsidRDefault="00944E09">
            <w:pPr>
              <w:widowControl w:val="0"/>
              <w:spacing w:after="240" w:line="259" w:lineRule="auto"/>
              <w:ind w:left="0" w:firstLine="0"/>
              <w:contextualSpacing/>
              <w:jc w:val="left"/>
              <w:textAlignment w:val="baseline"/>
              <w:rPr>
                <w:rFonts w:eastAsia="Calibri"/>
                <w:color w:val="auto"/>
                <w:lang w:eastAsia="en-US"/>
              </w:rPr>
            </w:pPr>
            <w:r>
              <w:rPr>
                <w:rFonts w:eastAsia="Calibri"/>
                <w:color w:val="auto"/>
                <w:kern w:val="2"/>
                <w:lang w:eastAsia="en-US"/>
              </w:rPr>
              <w:t>Accord de confidentialité</w:t>
            </w:r>
          </w:p>
        </w:tc>
      </w:tr>
      <w:tr w:rsidR="00C76715">
        <w:tc>
          <w:tcPr>
            <w:tcW w:w="1450" w:type="dxa"/>
            <w:shd w:val="clear" w:color="auto" w:fill="auto"/>
          </w:tcPr>
          <w:p w:rsidR="00C76715" w:rsidRDefault="00944E09">
            <w:pPr>
              <w:widowControl w:val="0"/>
              <w:spacing w:after="240" w:line="259" w:lineRule="auto"/>
              <w:ind w:left="0" w:firstLine="0"/>
              <w:contextualSpacing/>
              <w:jc w:val="center"/>
              <w:textAlignment w:val="baseline"/>
              <w:rPr>
                <w:rFonts w:eastAsia="Calibri"/>
                <w:color w:val="auto"/>
                <w:lang w:eastAsia="en-US"/>
              </w:rPr>
            </w:pPr>
            <w:r>
              <w:rPr>
                <w:rFonts w:eastAsia="Calibri"/>
                <w:color w:val="auto"/>
                <w:kern w:val="2"/>
                <w:lang w:eastAsia="en-US"/>
              </w:rPr>
              <w:t>6</w:t>
            </w:r>
          </w:p>
        </w:tc>
        <w:tc>
          <w:tcPr>
            <w:tcW w:w="8223" w:type="dxa"/>
            <w:shd w:val="clear" w:color="auto" w:fill="auto"/>
          </w:tcPr>
          <w:p w:rsidR="00C76715" w:rsidRDefault="00944E09">
            <w:pPr>
              <w:widowControl w:val="0"/>
              <w:spacing w:after="240" w:line="259" w:lineRule="auto"/>
              <w:ind w:left="0" w:firstLine="0"/>
              <w:contextualSpacing/>
              <w:jc w:val="left"/>
              <w:textAlignment w:val="baseline"/>
              <w:rPr>
                <w:rFonts w:eastAsia="Calibri"/>
                <w:color w:val="auto"/>
                <w:lang w:eastAsia="en-US"/>
              </w:rPr>
            </w:pPr>
            <w:r>
              <w:rPr>
                <w:rFonts w:eastAsia="Calibri"/>
                <w:color w:val="auto"/>
                <w:kern w:val="2"/>
                <w:lang w:eastAsia="en-US"/>
              </w:rPr>
              <w:t>Cadre de réponse – Environnement – Procédure électronique</w:t>
            </w:r>
          </w:p>
        </w:tc>
      </w:tr>
      <w:tr w:rsidR="00C76715">
        <w:tc>
          <w:tcPr>
            <w:tcW w:w="1450" w:type="dxa"/>
          </w:tcPr>
          <w:p w:rsidR="00C76715" w:rsidRDefault="00944E09">
            <w:pPr>
              <w:widowControl w:val="0"/>
              <w:spacing w:after="240" w:line="259" w:lineRule="auto"/>
              <w:ind w:left="0" w:firstLine="0"/>
              <w:contextualSpacing/>
              <w:jc w:val="center"/>
              <w:textAlignment w:val="baseline"/>
              <w:rPr>
                <w:rFonts w:eastAsia="Calibri"/>
                <w:color w:val="auto"/>
                <w:lang w:eastAsia="en-US"/>
              </w:rPr>
            </w:pPr>
            <w:r>
              <w:rPr>
                <w:rFonts w:eastAsia="Calibri"/>
                <w:color w:val="auto"/>
                <w:kern w:val="2"/>
                <w:lang w:eastAsia="en-US"/>
              </w:rPr>
              <w:t>7</w:t>
            </w:r>
          </w:p>
        </w:tc>
        <w:tc>
          <w:tcPr>
            <w:tcW w:w="8223" w:type="dxa"/>
          </w:tcPr>
          <w:p w:rsidR="00C76715" w:rsidRDefault="00944E09">
            <w:pPr>
              <w:widowControl w:val="0"/>
              <w:spacing w:after="240" w:line="259" w:lineRule="auto"/>
              <w:ind w:left="0" w:firstLine="0"/>
              <w:contextualSpacing/>
              <w:textAlignment w:val="baseline"/>
              <w:rPr>
                <w:rFonts w:eastAsia="Calibri"/>
                <w:color w:val="auto"/>
                <w:lang w:eastAsia="en-US"/>
              </w:rPr>
            </w:pPr>
            <w:r>
              <w:rPr>
                <w:rFonts w:eastAsia="Calibri"/>
                <w:color w:val="auto"/>
                <w:kern w:val="2"/>
                <w:lang w:eastAsia="en-US"/>
              </w:rPr>
              <w:t>renseignements complémentaires : Congés - PME,</w:t>
            </w:r>
          </w:p>
        </w:tc>
      </w:tr>
      <w:tr w:rsidR="00C76715">
        <w:tc>
          <w:tcPr>
            <w:tcW w:w="1450" w:type="dxa"/>
          </w:tcPr>
          <w:p w:rsidR="00C76715" w:rsidRDefault="00944E09">
            <w:pPr>
              <w:widowControl w:val="0"/>
              <w:spacing w:after="240" w:line="259" w:lineRule="auto"/>
              <w:ind w:left="0" w:firstLine="0"/>
              <w:contextualSpacing/>
              <w:jc w:val="center"/>
              <w:textAlignment w:val="baseline"/>
              <w:rPr>
                <w:rFonts w:eastAsia="Calibri"/>
                <w:color w:val="auto"/>
                <w:lang w:eastAsia="en-US"/>
              </w:rPr>
            </w:pPr>
            <w:r>
              <w:rPr>
                <w:rFonts w:eastAsia="Calibri"/>
                <w:color w:val="auto"/>
                <w:kern w:val="2"/>
                <w:lang w:eastAsia="en-US"/>
              </w:rPr>
              <w:t>8</w:t>
            </w:r>
          </w:p>
        </w:tc>
        <w:tc>
          <w:tcPr>
            <w:tcW w:w="8223" w:type="dxa"/>
          </w:tcPr>
          <w:p w:rsidR="00C76715" w:rsidRDefault="00944E09">
            <w:pPr>
              <w:widowControl w:val="0"/>
              <w:spacing w:after="240" w:line="259" w:lineRule="auto"/>
              <w:ind w:left="0" w:firstLine="0"/>
              <w:contextualSpacing/>
              <w:textAlignment w:val="baseline"/>
              <w:rPr>
                <w:rFonts w:eastAsia="Calibri"/>
                <w:color w:val="auto"/>
                <w:lang w:eastAsia="en-US"/>
              </w:rPr>
            </w:pPr>
            <w:r>
              <w:rPr>
                <w:rFonts w:eastAsia="Calibri"/>
                <w:color w:val="auto"/>
                <w:kern w:val="2"/>
                <w:lang w:eastAsia="en-US"/>
              </w:rPr>
              <w:t>Présentation des références – Soudure - Electricité</w:t>
            </w:r>
          </w:p>
        </w:tc>
      </w:tr>
      <w:tr w:rsidR="00C76715">
        <w:tc>
          <w:tcPr>
            <w:tcW w:w="1450" w:type="dxa"/>
          </w:tcPr>
          <w:p w:rsidR="00C76715" w:rsidRDefault="00944E09">
            <w:pPr>
              <w:widowControl w:val="0"/>
              <w:spacing w:after="240" w:line="259" w:lineRule="auto"/>
              <w:ind w:left="0" w:firstLine="0"/>
              <w:contextualSpacing/>
              <w:jc w:val="center"/>
              <w:textAlignment w:val="baseline"/>
              <w:rPr>
                <w:rFonts w:eastAsia="Calibri"/>
                <w:color w:val="auto"/>
                <w:lang w:eastAsia="en-US"/>
              </w:rPr>
            </w:pPr>
            <w:r>
              <w:rPr>
                <w:rFonts w:eastAsia="Calibri"/>
                <w:color w:val="auto"/>
                <w:kern w:val="2"/>
                <w:lang w:eastAsia="en-US"/>
              </w:rPr>
              <w:t>9</w:t>
            </w:r>
          </w:p>
        </w:tc>
        <w:tc>
          <w:tcPr>
            <w:tcW w:w="8223" w:type="dxa"/>
          </w:tcPr>
          <w:p w:rsidR="00C76715" w:rsidRDefault="00944E09">
            <w:pPr>
              <w:widowControl w:val="0"/>
              <w:spacing w:after="240" w:line="259" w:lineRule="auto"/>
              <w:ind w:left="0" w:firstLine="0"/>
              <w:contextualSpacing/>
              <w:textAlignment w:val="baseline"/>
              <w:rPr>
                <w:rFonts w:eastAsia="Calibri"/>
                <w:color w:val="auto"/>
                <w:lang w:eastAsia="en-US"/>
              </w:rPr>
            </w:pPr>
            <w:r>
              <w:rPr>
                <w:rFonts w:eastAsia="Calibri"/>
                <w:color w:val="auto"/>
                <w:kern w:val="2"/>
                <w:lang w:eastAsia="en-US"/>
              </w:rPr>
              <w:t>Présentation du projet</w:t>
            </w:r>
          </w:p>
        </w:tc>
      </w:tr>
      <w:tr w:rsidR="00C76715">
        <w:tc>
          <w:tcPr>
            <w:tcW w:w="1450" w:type="dxa"/>
          </w:tcPr>
          <w:p w:rsidR="00C76715" w:rsidRDefault="00944E09">
            <w:pPr>
              <w:widowControl w:val="0"/>
              <w:spacing w:after="240" w:line="259" w:lineRule="auto"/>
              <w:ind w:left="0" w:firstLine="0"/>
              <w:contextualSpacing/>
              <w:jc w:val="center"/>
              <w:textAlignment w:val="baseline"/>
              <w:rPr>
                <w:rFonts w:eastAsia="Calibri"/>
                <w:color w:val="auto"/>
                <w:lang w:eastAsia="en-US"/>
              </w:rPr>
            </w:pPr>
            <w:r>
              <w:rPr>
                <w:rFonts w:eastAsia="Calibri"/>
                <w:color w:val="auto"/>
                <w:kern w:val="2"/>
                <w:lang w:eastAsia="en-US"/>
              </w:rPr>
              <w:t>10</w:t>
            </w:r>
          </w:p>
        </w:tc>
        <w:tc>
          <w:tcPr>
            <w:tcW w:w="8223" w:type="dxa"/>
          </w:tcPr>
          <w:p w:rsidR="00C76715" w:rsidRDefault="00944E09">
            <w:pPr>
              <w:widowControl w:val="0"/>
              <w:spacing w:after="240" w:line="259" w:lineRule="auto"/>
              <w:ind w:left="0" w:firstLine="0"/>
              <w:contextualSpacing/>
              <w:textAlignment w:val="baseline"/>
              <w:rPr>
                <w:rFonts w:eastAsia="Calibri"/>
                <w:color w:val="auto"/>
                <w:lang w:eastAsia="en-US"/>
              </w:rPr>
            </w:pPr>
            <w:r>
              <w:rPr>
                <w:rFonts w:eastAsia="Calibri"/>
                <w:color w:val="auto"/>
                <w:kern w:val="2"/>
                <w:lang w:eastAsia="en-US"/>
              </w:rPr>
              <w:t>Présentation DUME</w:t>
            </w:r>
          </w:p>
        </w:tc>
      </w:tr>
    </w:tbl>
    <w:p w:rsidR="00C76715" w:rsidRDefault="00C76715">
      <w:pPr>
        <w:pStyle w:val="Paragraphedeliste"/>
        <w:spacing w:before="60" w:after="0" w:line="240" w:lineRule="auto"/>
        <w:ind w:left="284"/>
        <w:contextualSpacing w:val="0"/>
      </w:pPr>
    </w:p>
    <w:sectPr w:rsidR="00C76715">
      <w:headerReference w:type="even" r:id="rId153"/>
      <w:headerReference w:type="default" r:id="rId154"/>
      <w:footerReference w:type="even" r:id="rId155"/>
      <w:footerReference w:type="default" r:id="rId156"/>
      <w:headerReference w:type="first" r:id="rId157"/>
      <w:footerReference w:type="first" r:id="rId158"/>
      <w:pgSz w:w="11906" w:h="16838"/>
      <w:pgMar w:top="995" w:right="849" w:bottom="766" w:left="1003" w:header="709" w:footer="709" w:gutter="0"/>
      <w:cols w:space="720"/>
      <w:formProt w:val="0"/>
      <w:titlePg/>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17DC" w:rsidRDefault="00E417DC">
      <w:pPr>
        <w:spacing w:after="0" w:line="240" w:lineRule="auto"/>
      </w:pPr>
      <w:r>
        <w:separator/>
      </w:r>
    </w:p>
  </w:endnote>
  <w:endnote w:type="continuationSeparator" w:id="0">
    <w:p w:rsidR="00E417DC" w:rsidRDefault="00E417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ale Sans U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715" w:rsidRDefault="00944E09">
    <w:pPr>
      <w:tabs>
        <w:tab w:val="center" w:pos="7878"/>
        <w:tab w:val="center" w:pos="8763"/>
      </w:tabs>
      <w:spacing w:after="0" w:line="259" w:lineRule="auto"/>
      <w:ind w:left="0" w:firstLine="0"/>
      <w:jc w:val="left"/>
    </w:pPr>
    <w:r>
      <w:rPr>
        <w:noProof/>
      </w:rPr>
      <mc:AlternateContent>
        <mc:Choice Requires="wpg">
          <w:drawing>
            <wp:anchor distT="0" distB="0" distL="114300" distR="113665" simplePos="0" relativeHeight="9" behindDoc="1" locked="0" layoutInCell="0" allowOverlap="1" wp14:anchorId="41CCFA6F">
              <wp:simplePos x="0" y="0"/>
              <wp:positionH relativeFrom="page">
                <wp:posOffset>0</wp:posOffset>
              </wp:positionH>
              <wp:positionV relativeFrom="page">
                <wp:posOffset>0</wp:posOffset>
              </wp:positionV>
              <wp:extent cx="6226810" cy="6350"/>
              <wp:effectExtent l="0" t="0" r="0" b="0"/>
              <wp:wrapSquare wrapText="bothSides"/>
              <wp:docPr id="10" name="Group 31184"/>
              <wp:cNvGraphicFramePr/>
              <a:graphic xmlns:a="http://schemas.openxmlformats.org/drawingml/2006/main">
                <a:graphicData uri="http://schemas.microsoft.com/office/word/2010/wordprocessingGroup">
                  <wpg:wgp>
                    <wpg:cNvGrpSpPr/>
                    <wpg:grpSpPr>
                      <a:xfrm>
                        <a:off x="0" y="0"/>
                        <a:ext cx="6226920" cy="6480"/>
                        <a:chOff x="0" y="0"/>
                        <a:chExt cx="6226920" cy="6480"/>
                      </a:xfrm>
                    </wpg:grpSpPr>
                    <wps:wsp>
                      <wps:cNvPr id="11" name="Shape 31923"/>
                      <wps:cNvSpPr/>
                      <wps:spPr>
                        <a:xfrm>
                          <a:off x="0" y="0"/>
                          <a:ext cx="6226920" cy="6480"/>
                        </a:xfrm>
                        <a:custGeom>
                          <a:avLst/>
                          <a:gdLst/>
                          <a:ahLst/>
                          <a:cxnLst/>
                          <a:rect l="l" t="t" r="r" b="b"/>
                          <a:pathLst>
                            <a:path w="6226810" h="9144">
                              <a:moveTo>
                                <a:pt x="0" y="0"/>
                              </a:moveTo>
                              <a:lnTo>
                                <a:pt x="6226810" y="0"/>
                              </a:lnTo>
                              <a:lnTo>
                                <a:pt x="6226810" y="9144"/>
                              </a:lnTo>
                              <a:lnTo>
                                <a:pt x="0" y="9144"/>
                              </a:lnTo>
                              <a:lnTo>
                                <a:pt x="0" y="0"/>
                              </a:lnTo>
                            </a:path>
                          </a:pathLst>
                        </a:custGeom>
                        <a:solidFill>
                          <a:srgbClr val="BFBFBF"/>
                        </a:solidFill>
                        <a:ln w="0">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092A4108" id="Group 31184" o:spid="_x0000_s1026" style="position:absolute;margin-left:0;margin-top:0;width:490.3pt;height:.5pt;z-index:-503316471;mso-wrap-distance-right:8.95pt;mso-position-horizontal-relative:page;mso-position-vertical-relative:page" coordsize="62269,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sE1dAIAAGAGAAAOAAAAZHJzL2Uyb0RvYy54bWykVduO2jAQfa/Uf7DyXkKyCEFEWKndwkvV&#10;rrrbDzCOc5Ec27INgb/vzIQEyqpVd1dIycSe2zk+Hlb3x1axg3S+MTqPksk0YlILUzS6yqNfz5tP&#10;i4j5wHXBldEyj07SR/frjx9Wnc1kamqjCukYJNE+62we1SHYLI69qGXL/cRYqWGzNK7lAT5dFReO&#10;d5C9VXE6nc7jzrjCOiOk97D60G9Ga8pfllKEH2XpZWAqj6C3QE9Hzx0+4/WKZ5Xjtm7EuQ3+hi5a&#10;3mgoOqZ64IGzvWtepGob4Yw3ZZgI08amLBshCQOgSaY3aLbO7C1hqbKusiNNQO0NT29OK74fHh1r&#10;Cjg7oEfzFs6IyrK7JFnMkJ/OVhm4bZ19so/uvFD1Xwj5WLoW3wCGHYnZ08isPAYmYHGepvNlChUE&#10;7M1nizPxoobTeREk6q//CouHkjF2NjbSWVCQv5Dk30fSU82tJO49oh9ISgaSaB9IWqZ3PUnkNjLk&#10;Mw9kvYueESfPxN6HrTREMz9886GXbTFYvB4scdSD6UD8KHtFsg8RA9m7iIHsd73sLQ8Yh02iybr+&#10;nBaohDqPlslsRppuzUE+G3ILN4cFPV52lb72wiOnVIMawHfwGN6W8l17UlFA91dn6A0S/qcbyWxM&#10;BQbipOQjdli8Ztcb1RSbRimE6121+6IcO3Cg8fMGf8gchPzhpjRSNyWutMHgAQD4oix7KZAVTkpi&#10;aqV/yhLuHV0YqiXOxfrhBFcckA4jiiBAADqWkP+VsecQjJY0E18ZPwZRfaPDGN822jji5AodmjtT&#10;nGhYEAFwL4kKGmNE4Hnk4py8/iavyx/D+jcAAAD//wMAUEsDBBQABgAIAAAAIQDhYQEk2gAAAAMB&#10;AAAPAAAAZHJzL2Rvd25yZXYueG1sTI9BS8NAEIXvgv9hGcGb3USx1JhNKUU9FcFWEG/T7DQJzc6G&#10;7DZJ/72jl3p5MLzHe9/ky8m1aqA+NJ4NpLMEFHHpbcOVgc/d690CVIjIFlvPZOBMAZbF9VWOmfUj&#10;f9CwjZWSEg4ZGqhj7DKtQ1mTwzDzHbF4B987jHL2lbY9jlLuWn2fJHPtsGFZqLGjdU3lcXtyBt5G&#10;HFcP6cuwOR7W5+/d4/vXJiVjbm+m1TOoSFO8hOEXX9ChEKa9P7ENqjUgj8Q/Fe9pkcxB7SWUgC5y&#10;/Z+9+AEAAP//AwBQSwECLQAUAAYACAAAACEAtoM4kv4AAADhAQAAEwAAAAAAAAAAAAAAAAAAAAAA&#10;W0NvbnRlbnRfVHlwZXNdLnhtbFBLAQItABQABgAIAAAAIQA4/SH/1gAAAJQBAAALAAAAAAAAAAAA&#10;AAAAAC8BAABfcmVscy8ucmVsc1BLAQItABQABgAIAAAAIQAmIsE1dAIAAGAGAAAOAAAAAAAAAAAA&#10;AAAAAC4CAABkcnMvZTJvRG9jLnhtbFBLAQItABQABgAIAAAAIQDhYQEk2gAAAAMBAAAPAAAAAAAA&#10;AAAAAAAAAM4EAABkcnMvZG93bnJldi54bWxQSwUGAAAAAAQABADzAAAA1QUAAAAA&#10;" o:allowincell="f">
              <v:shape id="Shape 31923" o:spid="_x0000_s1027" style="position:absolute;width:62269;height:64;visibility:visible;mso-wrap-style:square;v-text-anchor:top" coordsize="622681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8PjwgAAANsAAAAPAAAAZHJzL2Rvd25yZXYueG1sRE9Na8JA&#10;EL0L/Q/LFHrTjVJsiW5CVYqe1KQK9jZkp0lodjbNrpr++65Q8DaP9znztDeNuFDnassKxqMIBHFh&#10;dc2lgsPH+/AVhPPIGhvLpOCXHKTJw2COsbZXzuiS+1KEEHYxKqi8b2MpXVGRQTeyLXHgvmxn0AfY&#10;lVJ3eA3hppGTKJpKgzWHhgpbWlZUfOdno0Cu1tmP9tEu+5zSdiFfTvsjPyv19Ni/zUB46v1d/O/e&#10;6DB/DLdfwgEy+QMAAP//AwBQSwECLQAUAAYACAAAACEA2+H2y+4AAACFAQAAEwAAAAAAAAAAAAAA&#10;AAAAAAAAW0NvbnRlbnRfVHlwZXNdLnhtbFBLAQItABQABgAIAAAAIQBa9CxbvwAAABUBAAALAAAA&#10;AAAAAAAAAAAAAB8BAABfcmVscy8ucmVsc1BLAQItABQABgAIAAAAIQAeC8PjwgAAANsAAAAPAAAA&#10;AAAAAAAAAAAAAAcCAABkcnMvZG93bnJldi54bWxQSwUGAAAAAAMAAwC3AAAA9gIAAAAA&#10;" path="m,l6226810,r,9144l,9144,,e" fillcolor="#bfbfbf" stroked="f" strokeweight="0">
                <v:path arrowok="t"/>
              </v:shape>
              <w10:wrap type="square" anchorx="page" anchory="page"/>
            </v:group>
          </w:pict>
        </mc:Fallback>
      </mc:AlternateContent>
    </w:r>
    <w:r>
      <w:rPr>
        <w:sz w:val="18"/>
      </w:rPr>
      <w:t xml:space="preserve">RC _Construction d’une installation de chargement au DEA d’Orange_DAF_2023_002025 </w:t>
    </w:r>
    <w:r>
      <w:rPr>
        <w:sz w:val="18"/>
      </w:rPr>
      <w:tab/>
      <w:t xml:space="preserve"> </w:t>
    </w:r>
    <w:r>
      <w:rPr>
        <w:sz w:val="18"/>
      </w:rPr>
      <w:tab/>
    </w:r>
    <w:r>
      <w:rPr>
        <w:sz w:val="18"/>
      </w:rPr>
      <w:fldChar w:fldCharType="begin"/>
    </w:r>
    <w:r>
      <w:rPr>
        <w:sz w:val="18"/>
      </w:rPr>
      <w:instrText xml:space="preserve"> PAGE </w:instrText>
    </w:r>
    <w:r>
      <w:rPr>
        <w:sz w:val="18"/>
      </w:rPr>
      <w:fldChar w:fldCharType="separate"/>
    </w:r>
    <w:r>
      <w:rPr>
        <w:sz w:val="18"/>
      </w:rPr>
      <w:t>0</w:t>
    </w:r>
    <w:r>
      <w:rPr>
        <w:sz w:val="18"/>
      </w:rPr>
      <w:fldChar w:fldCharType="end"/>
    </w:r>
    <w:r>
      <w:rPr>
        <w:sz w:val="18"/>
      </w:rPr>
      <w:t>/</w:t>
    </w:r>
    <w:r>
      <w:rPr>
        <w:sz w:val="18"/>
      </w:rPr>
      <w:fldChar w:fldCharType="begin"/>
    </w:r>
    <w:r>
      <w:rPr>
        <w:sz w:val="18"/>
      </w:rPr>
      <w:instrText xml:space="preserve"> NUMPAGES </w:instrText>
    </w:r>
    <w:r>
      <w:rPr>
        <w:sz w:val="18"/>
      </w:rPr>
      <w:fldChar w:fldCharType="separate"/>
    </w:r>
    <w:r>
      <w:rPr>
        <w:sz w:val="18"/>
      </w:rPr>
      <w:t>21</w:t>
    </w:r>
    <w:r>
      <w:rPr>
        <w:sz w:val="18"/>
      </w:rPr>
      <w:fldChar w:fldCharType="end"/>
    </w:r>
    <w:r>
      <w:rPr>
        <w:sz w:val="18"/>
      </w:rPr>
      <w:t xml:space="preserve"> </w:t>
    </w:r>
  </w:p>
  <w:p w:rsidR="00C76715" w:rsidRDefault="00C7671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715" w:rsidRDefault="00944E09">
    <w:pPr>
      <w:tabs>
        <w:tab w:val="center" w:pos="7878"/>
        <w:tab w:val="center" w:pos="8763"/>
      </w:tabs>
      <w:spacing w:after="0" w:line="259" w:lineRule="auto"/>
      <w:ind w:left="0" w:firstLine="0"/>
      <w:jc w:val="left"/>
    </w:pPr>
    <w:r>
      <w:rPr>
        <w:noProof/>
      </w:rPr>
      <mc:AlternateContent>
        <mc:Choice Requires="wpg">
          <w:drawing>
            <wp:anchor distT="0" distB="0" distL="114300" distR="113665" simplePos="0" relativeHeight="29" behindDoc="1" locked="0" layoutInCell="0" allowOverlap="1" wp14:anchorId="571B70CE">
              <wp:simplePos x="0" y="0"/>
              <wp:positionH relativeFrom="page">
                <wp:posOffset>667385</wp:posOffset>
              </wp:positionH>
              <wp:positionV relativeFrom="page">
                <wp:posOffset>10093325</wp:posOffset>
              </wp:positionV>
              <wp:extent cx="6226810" cy="6350"/>
              <wp:effectExtent l="0" t="0" r="0" b="0"/>
              <wp:wrapSquare wrapText="bothSides"/>
              <wp:docPr id="12" name="Group 31164"/>
              <wp:cNvGraphicFramePr/>
              <a:graphic xmlns:a="http://schemas.openxmlformats.org/drawingml/2006/main">
                <a:graphicData uri="http://schemas.microsoft.com/office/word/2010/wordprocessingGroup">
                  <wpg:wgp>
                    <wpg:cNvGrpSpPr/>
                    <wpg:grpSpPr>
                      <a:xfrm>
                        <a:off x="0" y="0"/>
                        <a:ext cx="6226920" cy="6480"/>
                        <a:chOff x="0" y="0"/>
                        <a:chExt cx="6226920" cy="6480"/>
                      </a:xfrm>
                    </wpg:grpSpPr>
                    <wps:wsp>
                      <wps:cNvPr id="13" name="Shape 31921"/>
                      <wps:cNvSpPr/>
                      <wps:spPr>
                        <a:xfrm>
                          <a:off x="0" y="0"/>
                          <a:ext cx="6226920" cy="6480"/>
                        </a:xfrm>
                        <a:custGeom>
                          <a:avLst/>
                          <a:gdLst/>
                          <a:ahLst/>
                          <a:cxnLst/>
                          <a:rect l="l" t="t" r="r" b="b"/>
                          <a:pathLst>
                            <a:path w="6226810" h="9144">
                              <a:moveTo>
                                <a:pt x="0" y="0"/>
                              </a:moveTo>
                              <a:lnTo>
                                <a:pt x="6226810" y="0"/>
                              </a:lnTo>
                              <a:lnTo>
                                <a:pt x="6226810" y="9144"/>
                              </a:lnTo>
                              <a:lnTo>
                                <a:pt x="0" y="9144"/>
                              </a:lnTo>
                              <a:lnTo>
                                <a:pt x="0" y="0"/>
                              </a:lnTo>
                            </a:path>
                          </a:pathLst>
                        </a:custGeom>
                        <a:solidFill>
                          <a:srgbClr val="BFBFBF"/>
                        </a:solidFill>
                        <a:ln w="0">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615A0C09" id="Group 31164" o:spid="_x0000_s1026" style="position:absolute;margin-left:52.55pt;margin-top:794.75pt;width:490.3pt;height:.5pt;z-index:-503316451;mso-wrap-distance-right:8.95pt;mso-position-horizontal-relative:page;mso-position-vertical-relative:page" coordsize="62269,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0++dQIAAGAGAAAOAAAAZHJzL2Uyb0RvYy54bWykVduO2jAQfa/Uf7D8XkKyCEFEWKndwkvV&#10;rrrbDzCOc5Ec27INgb/veHIhZdWquyskZ2zP7ZwZD5v7cyPJSVhXa5XReDanRCiu81qVGf31vPu0&#10;osR5pnImtRIZvQhH77cfP2xak4pEV1rmwhJwolzamoxW3ps0ihyvRMPcTBuh4LLQtmEetraMcsta&#10;8N7IKJnPl1GrbW6s5sI5OH3oLukW/ReF4P5HUTjhicwo5OZxtbgewhptNywtLTNVzfs02BuyaFit&#10;IOjo6oF5Ro62fuGqqbnVThd+xnUT6aKouUAMgCae36DZW300iKVM29KMNAG1Nzy92S3/fnq0pM6h&#10;dgklijVQIwxL7uJ4uQj8tKZMQW1vzZN5tP1B2e0C5HNhm/AFMOSMzF5GZsXZEw6HyyRZrhMoAIe7&#10;5WLVE88rqM4LI159/ZdZNISMQmZjIq2BDnJXktz7SHqqmBHIvQvoB5LuBpLwHkhaJ3FHEqqNDLnU&#10;AVnvomfEyVJ+dH4vNNLMTt+c79o2HyRWDRI/q0G00Pyh7SW2vacE2t5SAm1/6NreMB/sQpJBJG1X&#10;p1UMdaoyuo4XC+zpRp/Es0Y1f1MsyPF6K9VUK5QcXQ3dALqDxvA16G+qiUEB3V+VITdw+J9q2Gaj&#10;KxACTnQ+YofDKbtOyzrf1VIGuM6Why/SkhMDGj/vwi8wByZ/qEkVqJsjV0oH4wEA6Ia27FoBJX+R&#10;IriW6qco4N3hg8FYvA/WDSd44oB0GFEIAQyCYgH+X2nbmwRrgTPxlfajEcbXyo/2Ta20RU4m6IJ4&#10;0PkFhwUSAO8SqcAxhgT2IzfMyeketa5/DNvfAAAA//8DAFBLAwQUAAYACAAAACEACL7utOIAAAAO&#10;AQAADwAAAGRycy9kb3ducmV2LnhtbEyPwU7DMBBE70j8g7VI3KgdkCENcaqqAk4VUlskxM2Nt0nU&#10;2I5iN0n/ns0Jbju7o9k3+WqyLRuwD413CpKFAIau9KZxlYKvw/tDCixE7YxuvUMFVwywKm5vcp0Z&#10;P7odDvtYMQpxIdMK6hi7jPNQ1mh1WPgOHd1Ovrc6kuwrbno9Urht+aMQz9zqxtGHWne4qbE87y9W&#10;wceox/VT8jZsz6fN9ecgP7+3CSp1fzetX4FFnOKfGWZ8QoeCmI7+4kxgLWkhE7LSINOlBDZbRCpf&#10;gB3n3VJI4EXO/9cofgEAAP//AwBQSwECLQAUAAYACAAAACEAtoM4kv4AAADhAQAAEwAAAAAAAAAA&#10;AAAAAAAAAAAAW0NvbnRlbnRfVHlwZXNdLnhtbFBLAQItABQABgAIAAAAIQA4/SH/1gAAAJQBAAAL&#10;AAAAAAAAAAAAAAAAAC8BAABfcmVscy8ucmVsc1BLAQItABQABgAIAAAAIQApa0++dQIAAGAGAAAO&#10;AAAAAAAAAAAAAAAAAC4CAABkcnMvZTJvRG9jLnhtbFBLAQItABQABgAIAAAAIQAIvu604gAAAA4B&#10;AAAPAAAAAAAAAAAAAAAAAM8EAABkcnMvZG93bnJldi54bWxQSwUGAAAAAAQABADzAAAA3gUAAAAA&#10;" o:allowincell="f">
              <v:shape id="Shape 31921" o:spid="_x0000_s1027" style="position:absolute;width:62269;height:64;visibility:visible;mso-wrap-style:square;v-text-anchor:top" coordsize="622681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fgPwwAAANsAAAAPAAAAZHJzL2Rvd25yZXYueG1sRE9La8JA&#10;EL4L/odlBG+6sYqVNBvRFqmnanxAexuy0ySYnU2zq6b/vlso9DYf33OSZWdqcaPWVZYVTMYRCOLc&#10;6ooLBafjZrQA4TyyxtoyKfgmB8u030sw1vbOGd0OvhAhhF2MCkrvm1hKl5dk0I1tQxy4T9sa9AG2&#10;hdQt3kO4qeVDFM2lwYpDQ4kNPZeUXw5Xo0C+vGZf2ke77GNOb2v5+L4/80yp4aBbPYHw1Pl/8Z97&#10;q8P8Kfz+Eg6Q6Q8AAAD//wMAUEsBAi0AFAAGAAgAAAAhANvh9svuAAAAhQEAABMAAAAAAAAAAAAA&#10;AAAAAAAAAFtDb250ZW50X1R5cGVzXS54bWxQSwECLQAUAAYACAAAACEAWvQsW78AAAAVAQAACwAA&#10;AAAAAAAAAAAAAAAfAQAAX3JlbHMvLnJlbHNQSwECLQAUAAYACAAAACEAgZX4D8MAAADbAAAADwAA&#10;AAAAAAAAAAAAAAAHAgAAZHJzL2Rvd25yZXYueG1sUEsFBgAAAAADAAMAtwAAAPcCAAAAAA==&#10;" path="m,l6226810,r,9144l,9144,,e" fillcolor="#bfbfbf" stroked="f" strokeweight="0">
                <v:path arrowok="t"/>
              </v:shape>
              <w10:wrap type="square" anchorx="page" anchory="page"/>
            </v:group>
          </w:pict>
        </mc:Fallback>
      </mc:AlternateContent>
    </w:r>
    <w:r>
      <w:rPr>
        <w:sz w:val="18"/>
      </w:rPr>
      <w:t>RC _</w:t>
    </w:r>
    <w:r>
      <w:t xml:space="preserve"> </w:t>
    </w:r>
    <w:r>
      <w:rPr>
        <w:sz w:val="18"/>
      </w:rPr>
      <w:t xml:space="preserve">Travaux de mise en conformité du DE/P de Donges _DAF_2026_000407 </w:t>
    </w:r>
    <w:r>
      <w:rPr>
        <w:sz w:val="18"/>
      </w:rPr>
      <w:tab/>
    </w:r>
    <w:r>
      <w:rPr>
        <w:sz w:val="18"/>
      </w:rPr>
      <w:fldChar w:fldCharType="begin"/>
    </w:r>
    <w:r>
      <w:rPr>
        <w:sz w:val="18"/>
      </w:rPr>
      <w:instrText xml:space="preserve"> PAGE </w:instrText>
    </w:r>
    <w:r>
      <w:rPr>
        <w:sz w:val="18"/>
      </w:rPr>
      <w:fldChar w:fldCharType="separate"/>
    </w:r>
    <w:r w:rsidR="002E76CE">
      <w:rPr>
        <w:noProof/>
        <w:sz w:val="18"/>
      </w:rPr>
      <w:t>10</w:t>
    </w:r>
    <w:r>
      <w:rPr>
        <w:sz w:val="18"/>
      </w:rPr>
      <w:fldChar w:fldCharType="end"/>
    </w:r>
    <w:r>
      <w:rPr>
        <w:sz w:val="18"/>
      </w:rPr>
      <w:t>/</w:t>
    </w:r>
    <w:r>
      <w:rPr>
        <w:sz w:val="18"/>
      </w:rPr>
      <w:fldChar w:fldCharType="begin"/>
    </w:r>
    <w:r>
      <w:rPr>
        <w:sz w:val="18"/>
      </w:rPr>
      <w:instrText xml:space="preserve"> NUMPAGES </w:instrText>
    </w:r>
    <w:r>
      <w:rPr>
        <w:sz w:val="18"/>
      </w:rPr>
      <w:fldChar w:fldCharType="separate"/>
    </w:r>
    <w:r w:rsidR="002E76CE">
      <w:rPr>
        <w:noProof/>
        <w:sz w:val="18"/>
      </w:rPr>
      <w:t>21</w:t>
    </w:r>
    <w:r>
      <w:rPr>
        <w:sz w:val="18"/>
      </w:rPr>
      <w:fldChar w:fldCharType="end"/>
    </w:r>
    <w:r>
      <w:rPr>
        <w:sz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715" w:rsidRDefault="00C76715">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17DC" w:rsidRDefault="00E417DC">
      <w:pPr>
        <w:rPr>
          <w:sz w:val="12"/>
        </w:rPr>
      </w:pPr>
      <w:r>
        <w:separator/>
      </w:r>
    </w:p>
  </w:footnote>
  <w:footnote w:type="continuationSeparator" w:id="0">
    <w:p w:rsidR="00E417DC" w:rsidRDefault="00E417DC">
      <w:pPr>
        <w:rPr>
          <w:sz w:val="12"/>
        </w:rPr>
      </w:pPr>
      <w:r>
        <w:continuationSeparator/>
      </w:r>
    </w:p>
  </w:footnote>
  <w:footnote w:id="1">
    <w:p w:rsidR="00C76715" w:rsidRDefault="00944E09">
      <w:pPr>
        <w:pStyle w:val="Notedebasdepage"/>
        <w:rPr>
          <w:sz w:val="18"/>
        </w:rPr>
      </w:pPr>
      <w:r>
        <w:rPr>
          <w:rStyle w:val="Caractresdenotedebasdepage"/>
        </w:rPr>
        <w:footnoteRef/>
      </w:r>
      <w:r>
        <w:rPr>
          <w:sz w:val="18"/>
        </w:rPr>
        <w:tab/>
        <w:t xml:space="preserve"> l'attestation de vigilance sociale délivrée par l'URSSAF à partir de leur espace sécurisé sur le site </w:t>
      </w:r>
      <w:hyperlink r:id="rId1">
        <w:r>
          <w:rPr>
            <w:rStyle w:val="Lienhypertexte"/>
            <w:sz w:val="18"/>
          </w:rPr>
          <w:t>https://mon.urssaf.fr</w:t>
        </w:r>
      </w:hyperlink>
    </w:p>
  </w:footnote>
  <w:footnote w:id="2">
    <w:p w:rsidR="00C76715" w:rsidRDefault="00944E09">
      <w:pPr>
        <w:pStyle w:val="Notedebasdepage"/>
      </w:pPr>
      <w:r>
        <w:rPr>
          <w:rStyle w:val="Caractresdenotedebasdepage"/>
        </w:rPr>
        <w:footnoteRef/>
      </w:r>
      <w:r>
        <w:rPr>
          <w:sz w:val="18"/>
        </w:rPr>
        <w:tab/>
        <w:t xml:space="preserve"> l'attestation de vigilance fiscale depuis leur compte fiscal professionnel accessible depuis le site </w:t>
      </w:r>
      <w:hyperlink r:id="rId2">
        <w:r>
          <w:rPr>
            <w:rStyle w:val="Lienhypertexte"/>
            <w:sz w:val="18"/>
          </w:rPr>
          <w:t>https://www.impots.gouv.fr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715" w:rsidRDefault="00944E09">
    <w:r>
      <w:rPr>
        <w:noProof/>
      </w:rPr>
      <mc:AlternateContent>
        <mc:Choice Requires="wpg">
          <w:drawing>
            <wp:anchor distT="0" distB="0" distL="0" distR="0" simplePos="0" relativeHeight="2" behindDoc="1" locked="0" layoutInCell="0" allowOverlap="1" wp14:anchorId="568C0EB0">
              <wp:simplePos x="0" y="0"/>
              <wp:positionH relativeFrom="page">
                <wp:posOffset>0</wp:posOffset>
              </wp:positionH>
              <wp:positionV relativeFrom="page">
                <wp:posOffset>0</wp:posOffset>
              </wp:positionV>
              <wp:extent cx="0" cy="0"/>
              <wp:effectExtent l="0" t="0" r="0" b="0"/>
              <wp:wrapNone/>
              <wp:docPr id="7" name="Group 31167"/>
              <wp:cNvGraphicFramePr/>
              <a:graphic xmlns:a="http://schemas.openxmlformats.org/drawingml/2006/main">
                <a:graphicData uri="http://schemas.microsoft.com/office/word/2010/wordprocessingGroup">
                  <wpg:wgp>
                    <wpg:cNvGrpSpPr/>
                    <wpg:grpSpPr>
                      <a:xfrm>
                        <a:off x="0" y="0"/>
                        <a:ext cx="0" cy="0"/>
                        <a:chOff x="0" y="0"/>
                        <a:chExt cx="0" cy="0"/>
                      </a:xfrm>
                    </wpg:grpSpPr>
                  </wpg:wgp>
                </a:graphicData>
              </a:graphic>
            </wp:anchor>
          </w:drawing>
        </mc:Choice>
        <mc:Fallback>
          <w:pict>
            <v:group w14:anchorId="1E75A2A3" id="Group 31167" o:spid="_x0000_s1026" style="position:absolute;margin-left:0;margin-top:0;width:0;height:0;z-index:-503316478;mso-wrap-distance-left:0;mso-wrap-distance-right:0;mso-position-horizontal-relative:page;mso-position-vertical-relative:page"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poOTAEAAKwCAAAOAAAAZHJzL2Uyb0RvYy54bWycUstOwzAQvCPxD5bv1EmRWhQl6aXQG1QC&#10;PsA4dmIpfmjtNu3fs3FLqAqnXtbe9WpmZ9bl6mB6spcQtLMVzWcZJdIK12jbVvTz4+XhiZIQuW14&#10;76ys6FEGuqrv78rBF3LuOtc3EgiC2FAMvqJdjL5gLIhOGh5mzkuLj8qB4RFTaFkDfEB007N5li3Y&#10;4KDx4IQMAavr0yOtE75SUsQ3pYKMpK8ozhZThBS/xsjqkhctcN9pcR6D3zCF4doi6QS15pGTHeg/&#10;UEYLcMGpOBPOMKeUFjJpQDV5dqVmA27nk5a2GFo/2YTWXvl0M6x43W+B6KaiS0osN7iixEoe83yx&#10;HO0ZfFtg1wb8u9/CudCeslHxQYEZT9RCDsnY42SsPEQiTkXxWxUd7uRPr+ie/+lmPwRsnGOiTRla&#10;UpfYcF7f6PlljvfLT1Z/AwAA//8DAFBLAwQUAAYACAAAACEAP6VAatYAAAD/AAAADwAAAGRycy9k&#10;b3ducmV2LnhtbEyPQUvDQBCF74L/YZmCN7uJokiaTSlFPRXBVhBv0+w0Cc3Ohuw2Sf+9Uy/28pjh&#10;DW++ly8n16qB+tB4NpDOE1DEpbcNVwa+dm/3L6BCRLbYeiYDZwqwLG5vcsysH/mThm2slIRwyNBA&#10;HWOXaR3KmhyGue+IxTv43mGUta+07XGUcNfqhyR51g4blg81drSuqTxuT87A+4jj6jF9HTbHw/r8&#10;s3v6+N6kZMzdbFotQEWa4v8xXPAFHQph2vsT26BaA1Ik/ql4Mu8vqotcX3MXvwAAAP//AwBQSwEC&#10;LQAUAAYACAAAACEAtoM4kv4AAADhAQAAEwAAAAAAAAAAAAAAAAAAAAAAW0NvbnRlbnRfVHlwZXNd&#10;LnhtbFBLAQItABQABgAIAAAAIQA4/SH/1gAAAJQBAAALAAAAAAAAAAAAAAAAAC8BAABfcmVscy8u&#10;cmVsc1BLAQItABQABgAIAAAAIQBrzpoOTAEAAKwCAAAOAAAAAAAAAAAAAAAAAC4CAABkcnMvZTJv&#10;RG9jLnhtbFBLAQItABQABgAIAAAAIQA/pUBq1gAAAP8AAAAPAAAAAAAAAAAAAAAAAKYDAABkcnMv&#10;ZG93bnJldi54bWxQSwUGAAAAAAQABADzAAAAqQQAAAAA&#10;" o:allowincell="f">
              <w10:wrap anchorx="page" anchory="page"/>
            </v:group>
          </w:pict>
        </mc:Fallback>
      </mc:AlternateContent>
    </w:r>
  </w:p>
  <w:p w:rsidR="00C76715" w:rsidRDefault="00C7671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715" w:rsidRDefault="00C76715">
    <w:pPr>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715" w:rsidRDefault="00944E09">
    <w:r>
      <w:rPr>
        <w:noProof/>
      </w:rPr>
      <mc:AlternateContent>
        <mc:Choice Requires="wpg">
          <w:drawing>
            <wp:anchor distT="0" distB="0" distL="0" distR="0" simplePos="0" relativeHeight="3" behindDoc="1" locked="0" layoutInCell="0" allowOverlap="1" wp14:anchorId="2C741374">
              <wp:simplePos x="0" y="0"/>
              <wp:positionH relativeFrom="page">
                <wp:posOffset>667385</wp:posOffset>
              </wp:positionH>
              <wp:positionV relativeFrom="page">
                <wp:posOffset>10085705</wp:posOffset>
              </wp:positionV>
              <wp:extent cx="6226810" cy="6350"/>
              <wp:effectExtent l="0" t="0" r="0" b="0"/>
              <wp:wrapNone/>
              <wp:docPr id="8" name="Group 31143"/>
              <wp:cNvGraphicFramePr/>
              <a:graphic xmlns:a="http://schemas.openxmlformats.org/drawingml/2006/main">
                <a:graphicData uri="http://schemas.microsoft.com/office/word/2010/wordprocessingGroup">
                  <wpg:wgp>
                    <wpg:cNvGrpSpPr/>
                    <wpg:grpSpPr>
                      <a:xfrm>
                        <a:off x="0" y="0"/>
                        <a:ext cx="6226920" cy="6480"/>
                        <a:chOff x="0" y="0"/>
                        <a:chExt cx="6226920" cy="6480"/>
                      </a:xfrm>
                    </wpg:grpSpPr>
                    <wps:wsp>
                      <wps:cNvPr id="9" name="Shape 31919"/>
                      <wps:cNvSpPr/>
                      <wps:spPr>
                        <a:xfrm>
                          <a:off x="0" y="0"/>
                          <a:ext cx="6226920" cy="6480"/>
                        </a:xfrm>
                        <a:custGeom>
                          <a:avLst/>
                          <a:gdLst/>
                          <a:ahLst/>
                          <a:cxnLst/>
                          <a:rect l="l" t="t" r="r" b="b"/>
                          <a:pathLst>
                            <a:path w="6226810" h="9144">
                              <a:moveTo>
                                <a:pt x="0" y="0"/>
                              </a:moveTo>
                              <a:lnTo>
                                <a:pt x="6226810" y="0"/>
                              </a:lnTo>
                              <a:lnTo>
                                <a:pt x="6226810" y="9144"/>
                              </a:lnTo>
                              <a:lnTo>
                                <a:pt x="0" y="9144"/>
                              </a:lnTo>
                              <a:lnTo>
                                <a:pt x="0" y="0"/>
                              </a:lnTo>
                            </a:path>
                          </a:pathLst>
                        </a:custGeom>
                        <a:solidFill>
                          <a:srgbClr val="BFBFBF"/>
                        </a:solidFill>
                        <a:ln w="0">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6425933A" id="Group 31143" o:spid="_x0000_s1026" style="position:absolute;margin-left:52.55pt;margin-top:794.15pt;width:490.3pt;height:.5pt;z-index:-503316477;mso-wrap-distance-left:0;mso-wrap-distance-right:0;mso-position-horizontal-relative:page;mso-position-vertical-relative:page" coordsize="62269,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iTsdgIAAF4GAAAOAAAAZHJzL2Uyb0RvYy54bWyklW1v2jAQx99P2new/H6EUIQgIlTaOngz&#10;bdXafQDjOIklx7ZsQ+Db73x5gFFtWlshJRf77nz/n89mfX9qFDkK56XROU0nU0qE5qaQusrpr+ft&#10;pyUlPjBdMGW0yOlZeHq/+fhh3dpMzExtVCEcgSTaZ63NaR2CzZLE81o0zE+MFRomS+MaFuDTVUnh&#10;WAvZG5XMptNF0hpXWGe48B5GH7pJusH8ZSl4+FGWXgSicgq1BXw6fO7jM9msWVY5ZmvJ+zLYG6po&#10;mNSw6JjqgQVGDk6+SNVI7ow3ZZhw0ySmLCUXqAHUpNMbNTtnDha1VFlb2REToL3h9Oa0/Pvx0RFZ&#10;5BQ2SrMGtghXJXdpOr+LeFpbZeC1c/bJPrp+oOq+ouJT6Zr4Bi3khGDPI1hxCoTD4GI2W6xmwJ/D&#10;3GK+7LnzGjbnRRCvv/4rLBmWTGJlYyGthQbyF0b+fYyeamYFovdRfc9oNTDCaWC0SlcdI/QaAfnM&#10;A6t30RllsowffNgJg5TZ8ZsPXdMWg8XqweInPZgOWj82vcKmD5RA0ztKoOn3XdNbFmJcLDKapO22&#10;aZnCNtU5XaXzOXZ0Y47i2aBbuNkrqPEyq/S1V9xxTDU0A/gOHsPbYr5rT1wU1P3VGWqDhP/phl02&#10;pgIj6sTko3YYvKbrjZLFVioV5XpX7b8oR44MMH7exl8kByF/uCkd0U2RlTYxeBAAvrEru1ZAK5yV&#10;iKmV/ilKOHV4XnAt3i/WXU1wwEHpcEGhBAiIjiXkf2VsHxKjBd6Ir4wfg3B9o8MY30htHDK5UhfN&#10;vSnOeFcgADiWiAIvMQTYX7jxlrz+Rq/L38LmNwAAAP//AwBQSwMEFAAGAAgAAAAhAIF2V53iAAAA&#10;DgEAAA8AAABkcnMvZG93bnJldi54bWxMj0FPg0AQhe8m/ofNmHizCxIUkaVpGvXUmNiaGG9bdgqk&#10;7Cxht0D/vVMveps38/Lme8Vytp0YcfCtIwXxIgKBVDnTUq3gc/d6l4HwQZPRnSNUcEYPy/L6qtC5&#10;cRN94LgNteAQ8rlW0ITQ51L6qkGr/cL1SHw7uMHqwHKopRn0xOG2k/dR9CCtbok/NLrHdYPVcXuy&#10;Ct4mPa2S+GXcHA/r8/cuff/axKjU7c28egYRcA5/ZrjgMzqUzLR3JzJedKyjNGYrD2mWJSAulihL&#10;H0Hsf3dPCciykP9rlD8AAAD//wMAUEsBAi0AFAAGAAgAAAAhALaDOJL+AAAA4QEAABMAAAAAAAAA&#10;AAAAAAAAAAAAAFtDb250ZW50X1R5cGVzXS54bWxQSwECLQAUAAYACAAAACEAOP0h/9YAAACUAQAA&#10;CwAAAAAAAAAAAAAAAAAvAQAAX3JlbHMvLnJlbHNQSwECLQAUAAYACAAAACEAeMYk7HYCAABeBgAA&#10;DgAAAAAAAAAAAAAAAAAuAgAAZHJzL2Uyb0RvYy54bWxQSwECLQAUAAYACAAAACEAgXZXneIAAAAO&#10;AQAADwAAAAAAAAAAAAAAAADQBAAAZHJzL2Rvd25yZXYueG1sUEsFBgAAAAAEAAQA8wAAAN8FAAAA&#10;AA==&#10;" o:allowincell="f">
              <v:shape id="Shape 31919" o:spid="_x0000_s1027" style="position:absolute;width:62269;height:64;visibility:visible;mso-wrap-style:square;v-text-anchor:top" coordsize="622681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5UxAAAANoAAAAPAAAAZHJzL2Rvd25yZXYueG1sRI9Ba8JA&#10;FITvQv/D8gredNMiamM2opViT7axLejtkX0modm3MbvV9N+7guBxmJlvmGTemVqcqHWVZQVPwwgE&#10;cW51xYWC76+3wRSE88gaa8uk4J8czNOHXoKxtmfO6LT1hQgQdjEqKL1vYildXpJBN7QNcfAOtjXo&#10;g2wLqVs8B7ip5XMUjaXBisNCiQ29lpT/bv+MArlaZ0fto49sP6bNUk52nz88Uqr/2C1mIDx1/h6+&#10;td+1ghe4Xgk3QKYXAAAA//8DAFBLAQItABQABgAIAAAAIQDb4fbL7gAAAIUBAAATAAAAAAAAAAAA&#10;AAAAAAAAAABbQ29udGVudF9UeXBlc10ueG1sUEsBAi0AFAAGAAgAAAAhAFr0LFu/AAAAFQEAAAsA&#10;AAAAAAAAAAAAAAAAHwEAAF9yZWxzLy5yZWxzUEsBAi0AFAAGAAgAAAAhAODX7lTEAAAA2gAAAA8A&#10;AAAAAAAAAAAAAAAABwIAAGRycy9kb3ducmV2LnhtbFBLBQYAAAAAAwADALcAAAD4AgAAAAA=&#10;" path="m,l6226810,r,9144l,9144,,e" fillcolor="#bfbfbf" stroked="f" strokeweight="0">
                <v:path arrowok="t"/>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E19BF"/>
    <w:multiLevelType w:val="multilevel"/>
    <w:tmpl w:val="BE10F70A"/>
    <w:lvl w:ilvl="0">
      <w:start w:val="1"/>
      <w:numFmt w:val="bullet"/>
      <w:lvlText w:val="-"/>
      <w:lvlJc w:val="left"/>
      <w:pPr>
        <w:tabs>
          <w:tab w:val="num" w:pos="0"/>
        </w:tabs>
        <w:ind w:left="720" w:hanging="360"/>
      </w:pPr>
      <w:rPr>
        <w:rFonts w:ascii="Arial" w:hAnsi="Arial" w:cs="Arial" w:hint="default"/>
        <w:b w:val="0"/>
        <w:i w:val="0"/>
        <w:strike w:val="0"/>
        <w:dstrike w:val="0"/>
        <w:color w:val="000000"/>
        <w:position w:val="0"/>
        <w:sz w:val="22"/>
        <w:szCs w:val="22"/>
        <w:u w:val="none" w:color="000000"/>
        <w:shd w:val="clear" w:color="auto" w:fill="auto"/>
        <w:vertAlign w:val="baselin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1C72876"/>
    <w:multiLevelType w:val="multilevel"/>
    <w:tmpl w:val="FB2ED20C"/>
    <w:lvl w:ilvl="0">
      <w:start w:val="1"/>
      <w:numFmt w:val="bullet"/>
      <w:lvlText w:val="-"/>
      <w:lvlJc w:val="left"/>
      <w:pPr>
        <w:tabs>
          <w:tab w:val="num" w:pos="0"/>
        </w:tabs>
        <w:ind w:left="492"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1">
      <w:start w:val="1"/>
      <w:numFmt w:val="decimal"/>
      <w:lvlText w:val="%2."/>
      <w:lvlJc w:val="left"/>
      <w:pPr>
        <w:tabs>
          <w:tab w:val="num" w:pos="0"/>
        </w:tabs>
        <w:ind w:left="121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647"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367"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087"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807"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527"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247"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967"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abstractNum>
  <w:abstractNum w:abstractNumId="2" w15:restartNumberingAfterBreak="0">
    <w:nsid w:val="1A7A67E5"/>
    <w:multiLevelType w:val="multilevel"/>
    <w:tmpl w:val="096E025A"/>
    <w:lvl w:ilvl="0">
      <w:start w:val="1"/>
      <w:numFmt w:val="bullet"/>
      <w:lvlText w:val=""/>
      <w:lvlJc w:val="left"/>
      <w:pPr>
        <w:tabs>
          <w:tab w:val="num" w:pos="0"/>
        </w:tabs>
        <w:ind w:left="797" w:hanging="360"/>
      </w:pPr>
      <w:rPr>
        <w:rFonts w:ascii="Wingdings" w:hAnsi="Wingdings" w:cs="Wingdings" w:hint="default"/>
        <w:b w:val="0"/>
        <w:i w:val="0"/>
        <w:strike w:val="0"/>
        <w:dstrike w:val="0"/>
        <w:color w:val="000000"/>
        <w:position w:val="0"/>
        <w:sz w:val="28"/>
        <w:szCs w:val="22"/>
        <w:u w:val="none" w:color="000000"/>
        <w:vertAlign w:val="baseline"/>
      </w:rPr>
    </w:lvl>
    <w:lvl w:ilvl="1">
      <w:start w:val="1"/>
      <w:numFmt w:val="bullet"/>
      <w:lvlText w:val="o"/>
      <w:lvlJc w:val="left"/>
      <w:pPr>
        <w:tabs>
          <w:tab w:val="num" w:pos="0"/>
        </w:tabs>
        <w:ind w:left="1517" w:hanging="360"/>
      </w:pPr>
      <w:rPr>
        <w:rFonts w:ascii="Courier New" w:hAnsi="Courier New" w:cs="Courier New" w:hint="default"/>
      </w:rPr>
    </w:lvl>
    <w:lvl w:ilvl="2">
      <w:start w:val="1"/>
      <w:numFmt w:val="bullet"/>
      <w:lvlText w:val=""/>
      <w:lvlJc w:val="left"/>
      <w:pPr>
        <w:tabs>
          <w:tab w:val="num" w:pos="0"/>
        </w:tabs>
        <w:ind w:left="2237" w:hanging="360"/>
      </w:pPr>
      <w:rPr>
        <w:rFonts w:ascii="Wingdings" w:hAnsi="Wingdings" w:cs="Wingdings" w:hint="default"/>
      </w:rPr>
    </w:lvl>
    <w:lvl w:ilvl="3">
      <w:start w:val="1"/>
      <w:numFmt w:val="bullet"/>
      <w:lvlText w:val=""/>
      <w:lvlJc w:val="left"/>
      <w:pPr>
        <w:tabs>
          <w:tab w:val="num" w:pos="0"/>
        </w:tabs>
        <w:ind w:left="2957" w:hanging="360"/>
      </w:pPr>
      <w:rPr>
        <w:rFonts w:ascii="Symbol" w:hAnsi="Symbol" w:cs="Symbol" w:hint="default"/>
      </w:rPr>
    </w:lvl>
    <w:lvl w:ilvl="4">
      <w:start w:val="1"/>
      <w:numFmt w:val="bullet"/>
      <w:lvlText w:val="o"/>
      <w:lvlJc w:val="left"/>
      <w:pPr>
        <w:tabs>
          <w:tab w:val="num" w:pos="0"/>
        </w:tabs>
        <w:ind w:left="3677" w:hanging="360"/>
      </w:pPr>
      <w:rPr>
        <w:rFonts w:ascii="Courier New" w:hAnsi="Courier New" w:cs="Courier New" w:hint="default"/>
      </w:rPr>
    </w:lvl>
    <w:lvl w:ilvl="5">
      <w:start w:val="1"/>
      <w:numFmt w:val="bullet"/>
      <w:lvlText w:val=""/>
      <w:lvlJc w:val="left"/>
      <w:pPr>
        <w:tabs>
          <w:tab w:val="num" w:pos="0"/>
        </w:tabs>
        <w:ind w:left="4397" w:hanging="360"/>
      </w:pPr>
      <w:rPr>
        <w:rFonts w:ascii="Wingdings" w:hAnsi="Wingdings" w:cs="Wingdings" w:hint="default"/>
      </w:rPr>
    </w:lvl>
    <w:lvl w:ilvl="6">
      <w:start w:val="1"/>
      <w:numFmt w:val="bullet"/>
      <w:lvlText w:val=""/>
      <w:lvlJc w:val="left"/>
      <w:pPr>
        <w:tabs>
          <w:tab w:val="num" w:pos="0"/>
        </w:tabs>
        <w:ind w:left="5117" w:hanging="360"/>
      </w:pPr>
      <w:rPr>
        <w:rFonts w:ascii="Symbol" w:hAnsi="Symbol" w:cs="Symbol" w:hint="default"/>
      </w:rPr>
    </w:lvl>
    <w:lvl w:ilvl="7">
      <w:start w:val="1"/>
      <w:numFmt w:val="bullet"/>
      <w:lvlText w:val="o"/>
      <w:lvlJc w:val="left"/>
      <w:pPr>
        <w:tabs>
          <w:tab w:val="num" w:pos="0"/>
        </w:tabs>
        <w:ind w:left="5837" w:hanging="360"/>
      </w:pPr>
      <w:rPr>
        <w:rFonts w:ascii="Courier New" w:hAnsi="Courier New" w:cs="Courier New" w:hint="default"/>
      </w:rPr>
    </w:lvl>
    <w:lvl w:ilvl="8">
      <w:start w:val="1"/>
      <w:numFmt w:val="bullet"/>
      <w:lvlText w:val=""/>
      <w:lvlJc w:val="left"/>
      <w:pPr>
        <w:tabs>
          <w:tab w:val="num" w:pos="0"/>
        </w:tabs>
        <w:ind w:left="6557" w:hanging="360"/>
      </w:pPr>
      <w:rPr>
        <w:rFonts w:ascii="Wingdings" w:hAnsi="Wingdings" w:cs="Wingdings" w:hint="default"/>
      </w:rPr>
    </w:lvl>
  </w:abstractNum>
  <w:abstractNum w:abstractNumId="3" w15:restartNumberingAfterBreak="0">
    <w:nsid w:val="2EB334AC"/>
    <w:multiLevelType w:val="multilevel"/>
    <w:tmpl w:val="D9A05720"/>
    <w:lvl w:ilvl="0">
      <w:start w:val="1"/>
      <w:numFmt w:val="bullet"/>
      <w:lvlText w:val="-"/>
      <w:lvlJc w:val="left"/>
      <w:pPr>
        <w:tabs>
          <w:tab w:val="num" w:pos="0"/>
        </w:tabs>
        <w:ind w:left="348"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1">
      <w:start w:val="1"/>
      <w:numFmt w:val="bullet"/>
      <w:lvlText w:val="o"/>
      <w:lvlJc w:val="left"/>
      <w:pPr>
        <w:tabs>
          <w:tab w:val="num" w:pos="0"/>
        </w:tabs>
        <w:ind w:left="108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2">
      <w:start w:val="1"/>
      <w:numFmt w:val="bullet"/>
      <w:lvlText w:val="▪"/>
      <w:lvlJc w:val="left"/>
      <w:pPr>
        <w:tabs>
          <w:tab w:val="num" w:pos="0"/>
        </w:tabs>
        <w:ind w:left="180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3">
      <w:start w:val="1"/>
      <w:numFmt w:val="bullet"/>
      <w:lvlText w:val="•"/>
      <w:lvlJc w:val="left"/>
      <w:pPr>
        <w:tabs>
          <w:tab w:val="num" w:pos="0"/>
        </w:tabs>
        <w:ind w:left="252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4">
      <w:start w:val="1"/>
      <w:numFmt w:val="bullet"/>
      <w:lvlText w:val="o"/>
      <w:lvlJc w:val="left"/>
      <w:pPr>
        <w:tabs>
          <w:tab w:val="num" w:pos="0"/>
        </w:tabs>
        <w:ind w:left="324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5">
      <w:start w:val="1"/>
      <w:numFmt w:val="bullet"/>
      <w:lvlText w:val="▪"/>
      <w:lvlJc w:val="left"/>
      <w:pPr>
        <w:tabs>
          <w:tab w:val="num" w:pos="0"/>
        </w:tabs>
        <w:ind w:left="396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6">
      <w:start w:val="1"/>
      <w:numFmt w:val="bullet"/>
      <w:lvlText w:val="•"/>
      <w:lvlJc w:val="left"/>
      <w:pPr>
        <w:tabs>
          <w:tab w:val="num" w:pos="0"/>
        </w:tabs>
        <w:ind w:left="468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7">
      <w:start w:val="1"/>
      <w:numFmt w:val="bullet"/>
      <w:lvlText w:val="o"/>
      <w:lvlJc w:val="left"/>
      <w:pPr>
        <w:tabs>
          <w:tab w:val="num" w:pos="0"/>
        </w:tabs>
        <w:ind w:left="540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8">
      <w:start w:val="1"/>
      <w:numFmt w:val="bullet"/>
      <w:lvlText w:val="▪"/>
      <w:lvlJc w:val="left"/>
      <w:pPr>
        <w:tabs>
          <w:tab w:val="num" w:pos="0"/>
        </w:tabs>
        <w:ind w:left="6120" w:firstLine="0"/>
      </w:pPr>
      <w:rPr>
        <w:rFonts w:ascii="Arial" w:hAnsi="Arial" w:cs="Arial" w:hint="default"/>
        <w:b w:val="0"/>
        <w:i w:val="0"/>
        <w:strike w:val="0"/>
        <w:dstrike w:val="0"/>
        <w:color w:val="000000"/>
        <w:position w:val="0"/>
        <w:sz w:val="22"/>
        <w:szCs w:val="22"/>
        <w:u w:val="none" w:color="000000"/>
        <w:shd w:val="clear" w:color="auto" w:fill="auto"/>
        <w:vertAlign w:val="baseline"/>
      </w:rPr>
    </w:lvl>
  </w:abstractNum>
  <w:abstractNum w:abstractNumId="4" w15:restartNumberingAfterBreak="0">
    <w:nsid w:val="31E73755"/>
    <w:multiLevelType w:val="multilevel"/>
    <w:tmpl w:val="11C4CE64"/>
    <w:lvl w:ilvl="0">
      <w:start w:val="1"/>
      <w:numFmt w:val="bullet"/>
      <w:lvlText w:val="-"/>
      <w:lvlJc w:val="left"/>
      <w:pPr>
        <w:tabs>
          <w:tab w:val="num" w:pos="0"/>
        </w:tabs>
        <w:ind w:left="348"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1">
      <w:start w:val="1"/>
      <w:numFmt w:val="bullet"/>
      <w:lvlText w:val="o"/>
      <w:lvlJc w:val="left"/>
      <w:pPr>
        <w:tabs>
          <w:tab w:val="num" w:pos="0"/>
        </w:tabs>
        <w:ind w:left="108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2">
      <w:start w:val="1"/>
      <w:numFmt w:val="bullet"/>
      <w:lvlText w:val="▪"/>
      <w:lvlJc w:val="left"/>
      <w:pPr>
        <w:tabs>
          <w:tab w:val="num" w:pos="0"/>
        </w:tabs>
        <w:ind w:left="180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3">
      <w:start w:val="1"/>
      <w:numFmt w:val="bullet"/>
      <w:lvlText w:val="•"/>
      <w:lvlJc w:val="left"/>
      <w:pPr>
        <w:tabs>
          <w:tab w:val="num" w:pos="0"/>
        </w:tabs>
        <w:ind w:left="252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4">
      <w:start w:val="1"/>
      <w:numFmt w:val="bullet"/>
      <w:lvlText w:val="o"/>
      <w:lvlJc w:val="left"/>
      <w:pPr>
        <w:tabs>
          <w:tab w:val="num" w:pos="0"/>
        </w:tabs>
        <w:ind w:left="324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5">
      <w:start w:val="1"/>
      <w:numFmt w:val="bullet"/>
      <w:lvlText w:val="▪"/>
      <w:lvlJc w:val="left"/>
      <w:pPr>
        <w:tabs>
          <w:tab w:val="num" w:pos="0"/>
        </w:tabs>
        <w:ind w:left="396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6">
      <w:start w:val="1"/>
      <w:numFmt w:val="bullet"/>
      <w:lvlText w:val="•"/>
      <w:lvlJc w:val="left"/>
      <w:pPr>
        <w:tabs>
          <w:tab w:val="num" w:pos="0"/>
        </w:tabs>
        <w:ind w:left="468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7">
      <w:start w:val="1"/>
      <w:numFmt w:val="bullet"/>
      <w:lvlText w:val="o"/>
      <w:lvlJc w:val="left"/>
      <w:pPr>
        <w:tabs>
          <w:tab w:val="num" w:pos="0"/>
        </w:tabs>
        <w:ind w:left="540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8">
      <w:start w:val="1"/>
      <w:numFmt w:val="bullet"/>
      <w:lvlText w:val="▪"/>
      <w:lvlJc w:val="left"/>
      <w:pPr>
        <w:tabs>
          <w:tab w:val="num" w:pos="0"/>
        </w:tabs>
        <w:ind w:left="6120" w:firstLine="0"/>
      </w:pPr>
      <w:rPr>
        <w:rFonts w:ascii="Arial" w:hAnsi="Arial" w:cs="Arial" w:hint="default"/>
        <w:b w:val="0"/>
        <w:i w:val="0"/>
        <w:strike w:val="0"/>
        <w:dstrike w:val="0"/>
        <w:color w:val="000000"/>
        <w:position w:val="0"/>
        <w:sz w:val="22"/>
        <w:szCs w:val="22"/>
        <w:u w:val="none" w:color="000000"/>
        <w:shd w:val="clear" w:color="auto" w:fill="auto"/>
        <w:vertAlign w:val="baseline"/>
      </w:rPr>
    </w:lvl>
  </w:abstractNum>
  <w:abstractNum w:abstractNumId="5" w15:restartNumberingAfterBreak="0">
    <w:nsid w:val="39AB1EE5"/>
    <w:multiLevelType w:val="multilevel"/>
    <w:tmpl w:val="03AC4A8E"/>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6" w15:restartNumberingAfterBreak="0">
    <w:nsid w:val="48E825B2"/>
    <w:multiLevelType w:val="multilevel"/>
    <w:tmpl w:val="AD8A2E50"/>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7" w15:restartNumberingAfterBreak="0">
    <w:nsid w:val="49561D4A"/>
    <w:multiLevelType w:val="multilevel"/>
    <w:tmpl w:val="CD62A362"/>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98A6AB3"/>
    <w:multiLevelType w:val="multilevel"/>
    <w:tmpl w:val="57B09378"/>
    <w:lvl w:ilvl="0">
      <w:start w:val="1"/>
      <w:numFmt w:val="bullet"/>
      <w:pStyle w:val="Puce1"/>
      <w:lvlText w:val="-"/>
      <w:lvlJc w:val="left"/>
      <w:pPr>
        <w:tabs>
          <w:tab w:val="num" w:pos="0"/>
        </w:tabs>
        <w:ind w:left="720" w:hanging="360"/>
      </w:pPr>
      <w:rPr>
        <w:rFonts w:ascii="Marianne" w:hAnsi="Marianne" w:cs="Marianne"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D5A47BE"/>
    <w:multiLevelType w:val="multilevel"/>
    <w:tmpl w:val="FBB4B032"/>
    <w:lvl w:ilvl="0">
      <w:start w:val="1"/>
      <w:numFmt w:val="decimal"/>
      <w:pStyle w:val="Titre1"/>
      <w:lvlText w:val="%1"/>
      <w:lvlJc w:val="left"/>
      <w:pPr>
        <w:tabs>
          <w:tab w:val="num" w:pos="0"/>
        </w:tabs>
        <w:ind w:left="432" w:hanging="432"/>
      </w:pPr>
    </w:lvl>
    <w:lvl w:ilvl="1">
      <w:start w:val="1"/>
      <w:numFmt w:val="decimal"/>
      <w:pStyle w:val="Titre2"/>
      <w:lvlText w:val="%1.%2"/>
      <w:lvlJc w:val="left"/>
      <w:pPr>
        <w:tabs>
          <w:tab w:val="num" w:pos="0"/>
        </w:tabs>
        <w:ind w:left="576" w:hanging="576"/>
      </w:pPr>
    </w:lvl>
    <w:lvl w:ilvl="2">
      <w:start w:val="1"/>
      <w:numFmt w:val="decimal"/>
      <w:pStyle w:val="Titre3"/>
      <w:lvlText w:val="%1.%2.%3"/>
      <w:lvlJc w:val="left"/>
      <w:pPr>
        <w:tabs>
          <w:tab w:val="num" w:pos="0"/>
        </w:tabs>
        <w:ind w:left="720" w:hanging="720"/>
      </w:pPr>
    </w:lvl>
    <w:lvl w:ilvl="3">
      <w:start w:val="1"/>
      <w:numFmt w:val="decimal"/>
      <w:pStyle w:val="Titre4"/>
      <w:lvlText w:val="%1.%2.%3.%4"/>
      <w:lvlJc w:val="left"/>
      <w:pPr>
        <w:tabs>
          <w:tab w:val="num" w:pos="0"/>
        </w:tabs>
        <w:ind w:left="864" w:hanging="864"/>
      </w:pPr>
    </w:lvl>
    <w:lvl w:ilvl="4">
      <w:start w:val="1"/>
      <w:numFmt w:val="decimal"/>
      <w:pStyle w:val="Titre5"/>
      <w:lvlText w:val="%1.%2.%3.%4.%5"/>
      <w:lvlJc w:val="left"/>
      <w:pPr>
        <w:tabs>
          <w:tab w:val="num" w:pos="0"/>
        </w:tabs>
        <w:ind w:left="1008" w:hanging="1008"/>
      </w:pPr>
    </w:lvl>
    <w:lvl w:ilvl="5">
      <w:start w:val="1"/>
      <w:numFmt w:val="decimal"/>
      <w:pStyle w:val="Titre6"/>
      <w:lvlText w:val="%1.%2.%3.%4.%5.%6"/>
      <w:lvlJc w:val="left"/>
      <w:pPr>
        <w:tabs>
          <w:tab w:val="num" w:pos="0"/>
        </w:tabs>
        <w:ind w:left="1152" w:hanging="1152"/>
      </w:pPr>
    </w:lvl>
    <w:lvl w:ilvl="6">
      <w:start w:val="1"/>
      <w:numFmt w:val="decimal"/>
      <w:pStyle w:val="Titre7"/>
      <w:lvlText w:val="%1.%2.%3.%4.%5.%6.%7"/>
      <w:lvlJc w:val="left"/>
      <w:pPr>
        <w:tabs>
          <w:tab w:val="num" w:pos="0"/>
        </w:tabs>
        <w:ind w:left="1296" w:hanging="1296"/>
      </w:pPr>
    </w:lvl>
    <w:lvl w:ilvl="7">
      <w:start w:val="1"/>
      <w:numFmt w:val="decimal"/>
      <w:pStyle w:val="Titre8"/>
      <w:lvlText w:val="%1.%2.%3.%4.%5.%6.%7.%8"/>
      <w:lvlJc w:val="left"/>
      <w:pPr>
        <w:tabs>
          <w:tab w:val="num" w:pos="0"/>
        </w:tabs>
        <w:ind w:left="1440" w:hanging="1440"/>
      </w:pPr>
    </w:lvl>
    <w:lvl w:ilvl="8">
      <w:start w:val="1"/>
      <w:numFmt w:val="decimal"/>
      <w:pStyle w:val="Titre9"/>
      <w:lvlText w:val="%1.%2.%3.%4.%5.%6.%7.%8.%9"/>
      <w:lvlJc w:val="left"/>
      <w:pPr>
        <w:tabs>
          <w:tab w:val="num" w:pos="0"/>
        </w:tabs>
        <w:ind w:left="1584" w:hanging="1584"/>
      </w:pPr>
    </w:lvl>
  </w:abstractNum>
  <w:abstractNum w:abstractNumId="10" w15:restartNumberingAfterBreak="0">
    <w:nsid w:val="506C73F2"/>
    <w:multiLevelType w:val="multilevel"/>
    <w:tmpl w:val="BECACB92"/>
    <w:lvl w:ilvl="0">
      <w:start w:val="1"/>
      <w:numFmt w:val="bullet"/>
      <w:lvlText w:val="□"/>
      <w:lvlJc w:val="left"/>
      <w:pPr>
        <w:tabs>
          <w:tab w:val="num" w:pos="0"/>
        </w:tabs>
        <w:ind w:left="348" w:firstLine="0"/>
      </w:pPr>
      <w:rPr>
        <w:rFonts w:ascii="Arial" w:hAnsi="Arial" w:cs="Arial" w:hint="default"/>
        <w:b w:val="0"/>
        <w:i w:val="0"/>
        <w:strike w:val="0"/>
        <w:dstrike w:val="0"/>
        <w:color w:val="000000"/>
        <w:position w:val="0"/>
        <w:sz w:val="28"/>
        <w:szCs w:val="22"/>
        <w:u w:val="none" w:color="000000"/>
        <w:shd w:val="clear" w:color="auto" w:fill="auto"/>
        <w:vertAlign w:val="baselin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6B9C1B7C"/>
    <w:multiLevelType w:val="multilevel"/>
    <w:tmpl w:val="31C47978"/>
    <w:lvl w:ilvl="0">
      <w:start w:val="1"/>
      <w:numFmt w:val="bullet"/>
      <w:lvlText w:val="-"/>
      <w:lvlJc w:val="left"/>
      <w:pPr>
        <w:tabs>
          <w:tab w:val="num" w:pos="0"/>
        </w:tabs>
        <w:ind w:left="348"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1">
      <w:start w:val="1"/>
      <w:numFmt w:val="bullet"/>
      <w:lvlText w:val="o"/>
      <w:lvlJc w:val="left"/>
      <w:pPr>
        <w:tabs>
          <w:tab w:val="num" w:pos="0"/>
        </w:tabs>
        <w:ind w:left="108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2">
      <w:start w:val="1"/>
      <w:numFmt w:val="bullet"/>
      <w:lvlText w:val="▪"/>
      <w:lvlJc w:val="left"/>
      <w:pPr>
        <w:tabs>
          <w:tab w:val="num" w:pos="0"/>
        </w:tabs>
        <w:ind w:left="180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3">
      <w:start w:val="1"/>
      <w:numFmt w:val="bullet"/>
      <w:lvlText w:val="•"/>
      <w:lvlJc w:val="left"/>
      <w:pPr>
        <w:tabs>
          <w:tab w:val="num" w:pos="0"/>
        </w:tabs>
        <w:ind w:left="252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4">
      <w:start w:val="1"/>
      <w:numFmt w:val="bullet"/>
      <w:lvlText w:val="o"/>
      <w:lvlJc w:val="left"/>
      <w:pPr>
        <w:tabs>
          <w:tab w:val="num" w:pos="0"/>
        </w:tabs>
        <w:ind w:left="324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5">
      <w:start w:val="1"/>
      <w:numFmt w:val="bullet"/>
      <w:lvlText w:val="▪"/>
      <w:lvlJc w:val="left"/>
      <w:pPr>
        <w:tabs>
          <w:tab w:val="num" w:pos="0"/>
        </w:tabs>
        <w:ind w:left="396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6">
      <w:start w:val="1"/>
      <w:numFmt w:val="bullet"/>
      <w:lvlText w:val="•"/>
      <w:lvlJc w:val="left"/>
      <w:pPr>
        <w:tabs>
          <w:tab w:val="num" w:pos="0"/>
        </w:tabs>
        <w:ind w:left="468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7">
      <w:start w:val="1"/>
      <w:numFmt w:val="bullet"/>
      <w:lvlText w:val="o"/>
      <w:lvlJc w:val="left"/>
      <w:pPr>
        <w:tabs>
          <w:tab w:val="num" w:pos="0"/>
        </w:tabs>
        <w:ind w:left="540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8">
      <w:start w:val="1"/>
      <w:numFmt w:val="bullet"/>
      <w:lvlText w:val="▪"/>
      <w:lvlJc w:val="left"/>
      <w:pPr>
        <w:tabs>
          <w:tab w:val="num" w:pos="0"/>
        </w:tabs>
        <w:ind w:left="6120" w:firstLine="0"/>
      </w:pPr>
      <w:rPr>
        <w:rFonts w:ascii="Arial" w:hAnsi="Arial" w:cs="Arial" w:hint="default"/>
        <w:b w:val="0"/>
        <w:i w:val="0"/>
        <w:strike w:val="0"/>
        <w:dstrike w:val="0"/>
        <w:color w:val="000000"/>
        <w:position w:val="0"/>
        <w:sz w:val="22"/>
        <w:szCs w:val="22"/>
        <w:u w:val="none" w:color="000000"/>
        <w:shd w:val="clear" w:color="auto" w:fill="auto"/>
        <w:vertAlign w:val="baseline"/>
      </w:rPr>
    </w:lvl>
  </w:abstractNum>
  <w:abstractNum w:abstractNumId="12" w15:restartNumberingAfterBreak="0">
    <w:nsid w:val="6E0C20A4"/>
    <w:multiLevelType w:val="multilevel"/>
    <w:tmpl w:val="CA36FC2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6FA5519A"/>
    <w:multiLevelType w:val="multilevel"/>
    <w:tmpl w:val="69A2E0D2"/>
    <w:lvl w:ilvl="0">
      <w:start w:val="1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74F3616B"/>
    <w:multiLevelType w:val="multilevel"/>
    <w:tmpl w:val="250A4882"/>
    <w:lvl w:ilvl="0">
      <w:start w:val="1"/>
      <w:numFmt w:val="bullet"/>
      <w:lvlText w:val="-"/>
      <w:lvlJc w:val="left"/>
      <w:pPr>
        <w:tabs>
          <w:tab w:val="num" w:pos="0"/>
        </w:tabs>
        <w:ind w:left="492"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1">
      <w:start w:val="1"/>
      <w:numFmt w:val="decimal"/>
      <w:lvlText w:val="%2."/>
      <w:lvlJc w:val="left"/>
      <w:pPr>
        <w:tabs>
          <w:tab w:val="num" w:pos="0"/>
        </w:tabs>
        <w:ind w:left="121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647"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367"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087"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807"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527"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247"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967"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abstractNum>
  <w:abstractNum w:abstractNumId="15" w15:restartNumberingAfterBreak="0">
    <w:nsid w:val="7BA41A79"/>
    <w:multiLevelType w:val="multilevel"/>
    <w:tmpl w:val="9098ACFA"/>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num w:numId="1">
    <w:abstractNumId w:val="9"/>
  </w:num>
  <w:num w:numId="2">
    <w:abstractNumId w:val="14"/>
  </w:num>
  <w:num w:numId="3">
    <w:abstractNumId w:val="15"/>
  </w:num>
  <w:num w:numId="4">
    <w:abstractNumId w:val="6"/>
  </w:num>
  <w:num w:numId="5">
    <w:abstractNumId w:val="1"/>
  </w:num>
  <w:num w:numId="6">
    <w:abstractNumId w:val="8"/>
  </w:num>
  <w:num w:numId="7">
    <w:abstractNumId w:val="13"/>
  </w:num>
  <w:num w:numId="8">
    <w:abstractNumId w:val="7"/>
  </w:num>
  <w:num w:numId="9">
    <w:abstractNumId w:val="3"/>
  </w:num>
  <w:num w:numId="10">
    <w:abstractNumId w:val="11"/>
  </w:num>
  <w:num w:numId="11">
    <w:abstractNumId w:val="4"/>
  </w:num>
  <w:num w:numId="12">
    <w:abstractNumId w:val="5"/>
  </w:num>
  <w:num w:numId="13">
    <w:abstractNumId w:val="10"/>
  </w:num>
  <w:num w:numId="14">
    <w:abstractNumId w:val="0"/>
  </w:num>
  <w:num w:numId="15">
    <w:abstractNumId w:val="12"/>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6715"/>
    <w:rsid w:val="00004289"/>
    <w:rsid w:val="00153658"/>
    <w:rsid w:val="0017484C"/>
    <w:rsid w:val="002B5C63"/>
    <w:rsid w:val="002E76CE"/>
    <w:rsid w:val="00487C31"/>
    <w:rsid w:val="004D3BA2"/>
    <w:rsid w:val="00593C80"/>
    <w:rsid w:val="00682B17"/>
    <w:rsid w:val="006876D0"/>
    <w:rsid w:val="006E1E12"/>
    <w:rsid w:val="008154C7"/>
    <w:rsid w:val="008A76B8"/>
    <w:rsid w:val="00922446"/>
    <w:rsid w:val="00944E09"/>
    <w:rsid w:val="009C21E8"/>
    <w:rsid w:val="00A30EC9"/>
    <w:rsid w:val="00B07C51"/>
    <w:rsid w:val="00B915A6"/>
    <w:rsid w:val="00BE2B92"/>
    <w:rsid w:val="00C76715"/>
    <w:rsid w:val="00D176A8"/>
    <w:rsid w:val="00E417DC"/>
    <w:rsid w:val="00EB5F66"/>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BFBC68-869E-42A0-AE10-2D8760876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5C63"/>
    <w:pPr>
      <w:spacing w:after="111" w:line="249" w:lineRule="auto"/>
      <w:ind w:left="87" w:hanging="10"/>
      <w:jc w:val="both"/>
    </w:pPr>
    <w:rPr>
      <w:rFonts w:ascii="Arial" w:eastAsia="Arial" w:hAnsi="Arial" w:cs="Arial"/>
      <w:color w:val="000000"/>
    </w:rPr>
  </w:style>
  <w:style w:type="paragraph" w:styleId="Titre1">
    <w:name w:val="heading 1"/>
    <w:next w:val="Normal"/>
    <w:link w:val="Titre1Car"/>
    <w:uiPriority w:val="9"/>
    <w:unhideWhenUsed/>
    <w:qFormat/>
    <w:rsid w:val="00D97697"/>
    <w:pPr>
      <w:keepNext/>
      <w:keepLines/>
      <w:numPr>
        <w:numId w:val="1"/>
      </w:numPr>
      <w:tabs>
        <w:tab w:val="center" w:pos="2239"/>
      </w:tabs>
      <w:spacing w:before="240" w:after="120"/>
      <w:jc w:val="both"/>
      <w:outlineLvl w:val="0"/>
    </w:pPr>
    <w:rPr>
      <w:rFonts w:ascii="Arial" w:eastAsia="Arial" w:hAnsi="Arial" w:cs="Arial"/>
      <w:color w:val="000000"/>
    </w:rPr>
  </w:style>
  <w:style w:type="paragraph" w:styleId="Titre2">
    <w:name w:val="heading 2"/>
    <w:next w:val="Normal"/>
    <w:link w:val="Titre2Car"/>
    <w:uiPriority w:val="9"/>
    <w:unhideWhenUsed/>
    <w:qFormat/>
    <w:rsid w:val="00D97697"/>
    <w:pPr>
      <w:keepNext/>
      <w:keepLines/>
      <w:numPr>
        <w:ilvl w:val="1"/>
        <w:numId w:val="1"/>
      </w:numPr>
      <w:spacing w:before="240" w:after="120"/>
      <w:jc w:val="both"/>
      <w:outlineLvl w:val="1"/>
    </w:pPr>
    <w:rPr>
      <w:rFonts w:ascii="Arial" w:eastAsia="Arial" w:hAnsi="Arial" w:cs="Arial"/>
      <w:b/>
      <w:color w:val="000000"/>
    </w:rPr>
  </w:style>
  <w:style w:type="paragraph" w:styleId="Titre3">
    <w:name w:val="heading 3"/>
    <w:next w:val="Normal"/>
    <w:link w:val="Titre3Car"/>
    <w:uiPriority w:val="9"/>
    <w:unhideWhenUsed/>
    <w:qFormat/>
    <w:pPr>
      <w:keepNext/>
      <w:keepLines/>
      <w:numPr>
        <w:ilvl w:val="2"/>
        <w:numId w:val="1"/>
      </w:numPr>
      <w:spacing w:after="116" w:line="261" w:lineRule="auto"/>
      <w:outlineLvl w:val="2"/>
    </w:pPr>
    <w:rPr>
      <w:rFonts w:ascii="Arial" w:eastAsia="Arial" w:hAnsi="Arial" w:cs="Arial"/>
      <w:b/>
      <w:i/>
      <w:color w:val="000000"/>
    </w:rPr>
  </w:style>
  <w:style w:type="paragraph" w:styleId="Titre4">
    <w:name w:val="heading 4"/>
    <w:next w:val="Normal"/>
    <w:link w:val="Titre4Car"/>
    <w:uiPriority w:val="9"/>
    <w:unhideWhenUsed/>
    <w:qFormat/>
    <w:pPr>
      <w:keepNext/>
      <w:keepLines/>
      <w:numPr>
        <w:ilvl w:val="3"/>
        <w:numId w:val="1"/>
      </w:numPr>
      <w:spacing w:after="96" w:line="264" w:lineRule="auto"/>
      <w:ind w:right="525"/>
      <w:outlineLvl w:val="3"/>
    </w:pPr>
    <w:rPr>
      <w:rFonts w:ascii="Arial" w:eastAsia="Arial" w:hAnsi="Arial" w:cs="Arial"/>
      <w:b/>
      <w:color w:val="000000"/>
    </w:rPr>
  </w:style>
  <w:style w:type="paragraph" w:styleId="Titre5">
    <w:name w:val="heading 5"/>
    <w:next w:val="Normal"/>
    <w:link w:val="Titre5Car"/>
    <w:uiPriority w:val="9"/>
    <w:unhideWhenUsed/>
    <w:qFormat/>
    <w:pPr>
      <w:keepNext/>
      <w:keepLines/>
      <w:numPr>
        <w:ilvl w:val="4"/>
        <w:numId w:val="1"/>
      </w:numPr>
      <w:spacing w:after="116" w:line="261" w:lineRule="auto"/>
      <w:outlineLvl w:val="4"/>
    </w:pPr>
    <w:rPr>
      <w:rFonts w:ascii="Arial" w:eastAsia="Arial" w:hAnsi="Arial" w:cs="Arial"/>
      <w:b/>
      <w:i/>
      <w:color w:val="000000"/>
    </w:rPr>
  </w:style>
  <w:style w:type="paragraph" w:styleId="Titre6">
    <w:name w:val="heading 6"/>
    <w:basedOn w:val="Normal"/>
    <w:next w:val="Normal"/>
    <w:link w:val="Titre6Car"/>
    <w:uiPriority w:val="9"/>
    <w:semiHidden/>
    <w:unhideWhenUsed/>
    <w:qFormat/>
    <w:rsid w:val="00381677"/>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381677"/>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38167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38167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link w:val="Titre5"/>
    <w:uiPriority w:val="9"/>
    <w:qFormat/>
    <w:rPr>
      <w:rFonts w:ascii="Arial" w:eastAsia="Arial" w:hAnsi="Arial" w:cs="Arial"/>
      <w:b/>
      <w:i/>
      <w:color w:val="000000"/>
    </w:rPr>
  </w:style>
  <w:style w:type="character" w:customStyle="1" w:styleId="Titre4Car">
    <w:name w:val="Titre 4 Car"/>
    <w:link w:val="Titre4"/>
    <w:uiPriority w:val="9"/>
    <w:qFormat/>
    <w:rPr>
      <w:rFonts w:ascii="Arial" w:eastAsia="Arial" w:hAnsi="Arial" w:cs="Arial"/>
      <w:b/>
      <w:color w:val="000000"/>
    </w:rPr>
  </w:style>
  <w:style w:type="character" w:customStyle="1" w:styleId="Titre1Car">
    <w:name w:val="Titre 1 Car"/>
    <w:link w:val="Titre1"/>
    <w:uiPriority w:val="9"/>
    <w:qFormat/>
    <w:rsid w:val="00D97697"/>
    <w:rPr>
      <w:rFonts w:ascii="Arial" w:eastAsia="Arial" w:hAnsi="Arial" w:cs="Arial"/>
      <w:color w:val="000000"/>
    </w:rPr>
  </w:style>
  <w:style w:type="character" w:customStyle="1" w:styleId="Titre2Car">
    <w:name w:val="Titre 2 Car"/>
    <w:link w:val="Titre2"/>
    <w:uiPriority w:val="9"/>
    <w:qFormat/>
    <w:rsid w:val="00D97697"/>
    <w:rPr>
      <w:rFonts w:ascii="Arial" w:eastAsia="Arial" w:hAnsi="Arial" w:cs="Arial"/>
      <w:b/>
      <w:color w:val="000000"/>
    </w:rPr>
  </w:style>
  <w:style w:type="character" w:customStyle="1" w:styleId="Titre3Car">
    <w:name w:val="Titre 3 Car"/>
    <w:link w:val="Titre3"/>
    <w:uiPriority w:val="9"/>
    <w:qFormat/>
    <w:rPr>
      <w:rFonts w:ascii="Arial" w:eastAsia="Arial" w:hAnsi="Arial" w:cs="Arial"/>
      <w:b/>
      <w:i/>
      <w:color w:val="000000"/>
    </w:rPr>
  </w:style>
  <w:style w:type="character" w:customStyle="1" w:styleId="TextedebullesCar">
    <w:name w:val="Texte de bulles Car"/>
    <w:basedOn w:val="Policepardfaut"/>
    <w:link w:val="Textedebulles"/>
    <w:uiPriority w:val="99"/>
    <w:semiHidden/>
    <w:qFormat/>
    <w:rsid w:val="00F50974"/>
    <w:rPr>
      <w:rFonts w:ascii="Segoe UI" w:eastAsia="Arial" w:hAnsi="Segoe UI" w:cs="Segoe UI"/>
      <w:color w:val="000000"/>
      <w:sz w:val="18"/>
      <w:szCs w:val="18"/>
    </w:rPr>
  </w:style>
  <w:style w:type="character" w:styleId="Marquedecommentaire">
    <w:name w:val="annotation reference"/>
    <w:basedOn w:val="Policepardfaut"/>
    <w:unhideWhenUsed/>
    <w:qFormat/>
    <w:rsid w:val="00507EFA"/>
    <w:rPr>
      <w:sz w:val="16"/>
      <w:szCs w:val="16"/>
    </w:rPr>
  </w:style>
  <w:style w:type="character" w:customStyle="1" w:styleId="CommentaireCar">
    <w:name w:val="Commentaire Car"/>
    <w:basedOn w:val="Policepardfaut"/>
    <w:link w:val="Commentaire"/>
    <w:qFormat/>
    <w:rsid w:val="00507EFA"/>
    <w:rPr>
      <w:rFonts w:ascii="Arial" w:eastAsia="Arial" w:hAnsi="Arial" w:cs="Arial"/>
      <w:color w:val="000000"/>
      <w:sz w:val="20"/>
      <w:szCs w:val="20"/>
    </w:rPr>
  </w:style>
  <w:style w:type="character" w:customStyle="1" w:styleId="ObjetducommentaireCar">
    <w:name w:val="Objet du commentaire Car"/>
    <w:basedOn w:val="CommentaireCar"/>
    <w:link w:val="Objetducommentaire"/>
    <w:uiPriority w:val="99"/>
    <w:semiHidden/>
    <w:qFormat/>
    <w:rsid w:val="00507EFA"/>
    <w:rPr>
      <w:rFonts w:ascii="Arial" w:eastAsia="Arial" w:hAnsi="Arial" w:cs="Arial"/>
      <w:b/>
      <w:bCs/>
      <w:color w:val="000000"/>
      <w:sz w:val="20"/>
      <w:szCs w:val="20"/>
    </w:rPr>
  </w:style>
  <w:style w:type="character" w:styleId="Lienhypertexte">
    <w:name w:val="Hyperlink"/>
    <w:basedOn w:val="Policepardfaut"/>
    <w:uiPriority w:val="99"/>
    <w:qFormat/>
    <w:rsid w:val="002249EC"/>
    <w:rPr>
      <w:color w:val="0563C1"/>
      <w:u w:val="single"/>
    </w:rPr>
  </w:style>
  <w:style w:type="character" w:customStyle="1" w:styleId="StandardCar">
    <w:name w:val="Standard Car"/>
    <w:basedOn w:val="Policepardfaut"/>
    <w:link w:val="Standard"/>
    <w:qFormat/>
    <w:rsid w:val="002249EC"/>
    <w:rPr>
      <w:rFonts w:ascii="Arial" w:eastAsia="Andale Sans UI" w:hAnsi="Arial" w:cs="Tahoma"/>
      <w:kern w:val="2"/>
      <w:sz w:val="20"/>
      <w:szCs w:val="24"/>
      <w:lang w:eastAsia="ja-JP" w:bidi="fa-IR"/>
    </w:rPr>
  </w:style>
  <w:style w:type="character" w:customStyle="1" w:styleId="Puce1Car">
    <w:name w:val="*Puce 1 Car"/>
    <w:link w:val="Puce1"/>
    <w:qFormat/>
    <w:rsid w:val="00065276"/>
    <w:rPr>
      <w:rFonts w:ascii="Arial" w:eastAsiaTheme="minorHAnsi" w:hAnsi="Arial"/>
      <w:lang w:eastAsia="en-US"/>
    </w:rPr>
  </w:style>
  <w:style w:type="character" w:customStyle="1" w:styleId="Titre6Car">
    <w:name w:val="Titre 6 Car"/>
    <w:basedOn w:val="Policepardfaut"/>
    <w:link w:val="Titre6"/>
    <w:uiPriority w:val="9"/>
    <w:semiHidden/>
    <w:qFormat/>
    <w:rsid w:val="00381677"/>
    <w:rPr>
      <w:rFonts w:asciiTheme="majorHAnsi" w:eastAsiaTheme="majorEastAsia" w:hAnsiTheme="majorHAnsi" w:cstheme="majorBidi"/>
      <w:color w:val="1F4D78" w:themeColor="accent1" w:themeShade="7F"/>
    </w:rPr>
  </w:style>
  <w:style w:type="character" w:customStyle="1" w:styleId="Titre7Car">
    <w:name w:val="Titre 7 Car"/>
    <w:basedOn w:val="Policepardfaut"/>
    <w:link w:val="Titre7"/>
    <w:uiPriority w:val="9"/>
    <w:semiHidden/>
    <w:qFormat/>
    <w:rsid w:val="00381677"/>
    <w:rPr>
      <w:rFonts w:asciiTheme="majorHAnsi" w:eastAsiaTheme="majorEastAsia" w:hAnsiTheme="majorHAnsi" w:cstheme="majorBidi"/>
      <w:i/>
      <w:iCs/>
      <w:color w:val="1F4D78" w:themeColor="accent1" w:themeShade="7F"/>
    </w:rPr>
  </w:style>
  <w:style w:type="character" w:customStyle="1" w:styleId="Titre8Car">
    <w:name w:val="Titre 8 Car"/>
    <w:basedOn w:val="Policepardfaut"/>
    <w:link w:val="Titre8"/>
    <w:uiPriority w:val="9"/>
    <w:semiHidden/>
    <w:qFormat/>
    <w:rsid w:val="00381677"/>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qFormat/>
    <w:rsid w:val="00381677"/>
    <w:rPr>
      <w:rFonts w:asciiTheme="majorHAnsi" w:eastAsiaTheme="majorEastAsia" w:hAnsiTheme="majorHAnsi" w:cstheme="majorBidi"/>
      <w:i/>
      <w:iCs/>
      <w:color w:val="272727" w:themeColor="text1" w:themeTint="D8"/>
      <w:sz w:val="21"/>
      <w:szCs w:val="21"/>
    </w:rPr>
  </w:style>
  <w:style w:type="character" w:styleId="Lienhypertextesuivivisit">
    <w:name w:val="FollowedHyperlink"/>
    <w:basedOn w:val="Policepardfaut"/>
    <w:uiPriority w:val="99"/>
    <w:semiHidden/>
    <w:unhideWhenUsed/>
    <w:rsid w:val="00D35EC6"/>
    <w:rPr>
      <w:color w:val="954F72" w:themeColor="followedHyperlink"/>
      <w:u w:val="single"/>
    </w:rPr>
  </w:style>
  <w:style w:type="character" w:styleId="lev">
    <w:name w:val="Strong"/>
    <w:qFormat/>
    <w:rsid w:val="00FE633B"/>
    <w:rPr>
      <w:b/>
      <w:bCs/>
    </w:rPr>
  </w:style>
  <w:style w:type="character" w:customStyle="1" w:styleId="ParagraphedelisteCar">
    <w:name w:val="Paragraphe de liste Car"/>
    <w:basedOn w:val="Policepardfaut"/>
    <w:link w:val="Paragraphedeliste"/>
    <w:qFormat/>
    <w:locked/>
    <w:rsid w:val="0054346B"/>
    <w:rPr>
      <w:rFonts w:ascii="Calibri" w:eastAsia="Calibri" w:hAnsi="Calibri" w:cs="Times New Roman"/>
      <w:kern w:val="2"/>
      <w:lang w:eastAsia="en-US"/>
    </w:rPr>
  </w:style>
  <w:style w:type="character" w:customStyle="1" w:styleId="NotedebasdepageCar">
    <w:name w:val="Note de bas de page Car"/>
    <w:basedOn w:val="Policepardfaut"/>
    <w:link w:val="Notedebasdepage"/>
    <w:uiPriority w:val="99"/>
    <w:semiHidden/>
    <w:qFormat/>
    <w:rsid w:val="00FC7263"/>
    <w:rPr>
      <w:rFonts w:ascii="Arial" w:eastAsia="Arial" w:hAnsi="Arial" w:cs="Arial"/>
      <w:color w:val="000000"/>
      <w:sz w:val="20"/>
      <w:szCs w:val="20"/>
    </w:rPr>
  </w:style>
  <w:style w:type="character" w:customStyle="1" w:styleId="Caractresdenotedebasdepage">
    <w:name w:val="Caractères de note de bas de page"/>
    <w:uiPriority w:val="99"/>
    <w:qFormat/>
    <w:rsid w:val="00FC7263"/>
    <w:rPr>
      <w:vertAlign w:val="superscript"/>
    </w:rPr>
  </w:style>
  <w:style w:type="character" w:styleId="Appelnotedebasdep">
    <w:name w:val="footnote reference"/>
    <w:rPr>
      <w:vertAlign w:val="superscript"/>
    </w:rPr>
  </w:style>
  <w:style w:type="character" w:customStyle="1" w:styleId="Sautdindex">
    <w:name w:val="Saut d'index"/>
    <w:qFormat/>
  </w:style>
  <w:style w:type="character" w:styleId="Appeldenotedefin">
    <w:name w:val="endnote reference"/>
    <w:rPr>
      <w:vertAlign w:val="superscript"/>
    </w:rPr>
  </w:style>
  <w:style w:type="character" w:customStyle="1" w:styleId="Caractresdenotedefin">
    <w:name w:val="Caractères de note de fin"/>
    <w:qFormat/>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Paragraphedeliste">
    <w:name w:val="List Paragraph"/>
    <w:basedOn w:val="Normal"/>
    <w:link w:val="ParagraphedelisteCar"/>
    <w:uiPriority w:val="34"/>
    <w:qFormat/>
    <w:rsid w:val="007770C8"/>
    <w:pPr>
      <w:spacing w:after="200" w:line="276" w:lineRule="auto"/>
      <w:ind w:left="720" w:firstLine="0"/>
      <w:contextualSpacing/>
      <w:jc w:val="left"/>
    </w:pPr>
    <w:rPr>
      <w:rFonts w:ascii="Calibri" w:eastAsia="Calibri" w:hAnsi="Calibri" w:cs="Times New Roman"/>
      <w:color w:val="auto"/>
      <w:kern w:val="2"/>
      <w:lang w:eastAsia="en-US"/>
    </w:rPr>
  </w:style>
  <w:style w:type="paragraph" w:styleId="NormalWeb">
    <w:name w:val="Normal (Web)"/>
    <w:basedOn w:val="Normal"/>
    <w:uiPriority w:val="99"/>
    <w:unhideWhenUsed/>
    <w:qFormat/>
    <w:rsid w:val="00B10F60"/>
    <w:pPr>
      <w:spacing w:beforeAutospacing="1" w:afterAutospacing="1" w:line="240" w:lineRule="auto"/>
      <w:ind w:left="0" w:firstLine="0"/>
      <w:jc w:val="left"/>
    </w:pPr>
    <w:rPr>
      <w:rFonts w:ascii="Times New Roman" w:eastAsiaTheme="minorHAnsi" w:hAnsi="Times New Roman" w:cs="Times New Roman"/>
      <w:color w:val="auto"/>
      <w:sz w:val="24"/>
      <w:szCs w:val="24"/>
    </w:rPr>
  </w:style>
  <w:style w:type="paragraph" w:styleId="Textedebulles">
    <w:name w:val="Balloon Text"/>
    <w:basedOn w:val="Normal"/>
    <w:link w:val="TextedebullesCar"/>
    <w:uiPriority w:val="99"/>
    <w:semiHidden/>
    <w:unhideWhenUsed/>
    <w:qFormat/>
    <w:rsid w:val="00F50974"/>
    <w:pPr>
      <w:spacing w:after="0" w:line="240" w:lineRule="auto"/>
    </w:pPr>
    <w:rPr>
      <w:rFonts w:ascii="Segoe UI" w:hAnsi="Segoe UI" w:cs="Segoe UI"/>
      <w:sz w:val="18"/>
      <w:szCs w:val="18"/>
    </w:rPr>
  </w:style>
  <w:style w:type="paragraph" w:styleId="Commentaire">
    <w:name w:val="annotation text"/>
    <w:basedOn w:val="Normal"/>
    <w:link w:val="CommentaireCar"/>
    <w:unhideWhenUsed/>
    <w:qFormat/>
    <w:rsid w:val="00507EFA"/>
    <w:pPr>
      <w:spacing w:line="240" w:lineRule="auto"/>
    </w:pPr>
    <w:rPr>
      <w:sz w:val="20"/>
      <w:szCs w:val="20"/>
    </w:rPr>
  </w:style>
  <w:style w:type="paragraph" w:styleId="Objetducommentaire">
    <w:name w:val="annotation subject"/>
    <w:basedOn w:val="Commentaire"/>
    <w:next w:val="Commentaire"/>
    <w:link w:val="ObjetducommentaireCar"/>
    <w:uiPriority w:val="99"/>
    <w:semiHidden/>
    <w:unhideWhenUsed/>
    <w:qFormat/>
    <w:rsid w:val="00507EFA"/>
    <w:rPr>
      <w:b/>
      <w:bCs/>
    </w:rPr>
  </w:style>
  <w:style w:type="paragraph" w:styleId="TM2">
    <w:name w:val="toc 2"/>
    <w:basedOn w:val="Normal"/>
    <w:next w:val="Normal"/>
    <w:autoRedefine/>
    <w:uiPriority w:val="39"/>
    <w:rsid w:val="002249EC"/>
    <w:pPr>
      <w:widowControl w:val="0"/>
      <w:tabs>
        <w:tab w:val="left" w:pos="880"/>
        <w:tab w:val="right" w:leader="dot" w:pos="9627"/>
      </w:tabs>
      <w:spacing w:after="100" w:line="240" w:lineRule="auto"/>
      <w:ind w:left="238" w:firstLine="0"/>
      <w:jc w:val="left"/>
      <w:textAlignment w:val="baseline"/>
    </w:pPr>
    <w:rPr>
      <w:rFonts w:ascii="Times New Roman" w:eastAsia="Andale Sans UI" w:hAnsi="Times New Roman" w:cs="Tahoma"/>
      <w:color w:val="auto"/>
      <w:kern w:val="2"/>
      <w:sz w:val="24"/>
      <w:szCs w:val="24"/>
      <w:lang w:eastAsia="ja-JP" w:bidi="fa-IR"/>
    </w:rPr>
  </w:style>
  <w:style w:type="paragraph" w:styleId="TM1">
    <w:name w:val="toc 1"/>
    <w:basedOn w:val="Normal"/>
    <w:next w:val="Normal"/>
    <w:autoRedefine/>
    <w:uiPriority w:val="39"/>
    <w:unhideWhenUsed/>
    <w:rsid w:val="008A312D"/>
    <w:pPr>
      <w:tabs>
        <w:tab w:val="left" w:pos="660"/>
        <w:tab w:val="right" w:leader="dot" w:pos="9639"/>
      </w:tabs>
      <w:spacing w:after="100"/>
      <w:ind w:left="0"/>
    </w:pPr>
  </w:style>
  <w:style w:type="paragraph" w:customStyle="1" w:styleId="Standard">
    <w:name w:val="Standard"/>
    <w:link w:val="StandardCar"/>
    <w:qFormat/>
    <w:rsid w:val="002249EC"/>
    <w:pPr>
      <w:widowControl w:val="0"/>
      <w:spacing w:before="57"/>
      <w:jc w:val="both"/>
      <w:textAlignment w:val="center"/>
    </w:pPr>
    <w:rPr>
      <w:rFonts w:ascii="Arial" w:eastAsia="Andale Sans UI" w:hAnsi="Arial" w:cs="Tahoma"/>
      <w:kern w:val="2"/>
      <w:sz w:val="20"/>
      <w:szCs w:val="24"/>
      <w:lang w:eastAsia="ja-JP" w:bidi="fa-IR"/>
    </w:rPr>
  </w:style>
  <w:style w:type="paragraph" w:customStyle="1" w:styleId="Puce1">
    <w:name w:val="*Puce 1"/>
    <w:basedOn w:val="Normal"/>
    <w:link w:val="Puce1Car"/>
    <w:qFormat/>
    <w:rsid w:val="00065276"/>
    <w:pPr>
      <w:numPr>
        <w:numId w:val="6"/>
      </w:numPr>
      <w:spacing w:before="60" w:after="0" w:line="240" w:lineRule="auto"/>
    </w:pPr>
    <w:rPr>
      <w:rFonts w:eastAsiaTheme="minorHAnsi" w:cstheme="minorBidi"/>
      <w:color w:val="auto"/>
      <w:lang w:eastAsia="en-US"/>
    </w:rPr>
  </w:style>
  <w:style w:type="paragraph" w:styleId="Notedebasdepage">
    <w:name w:val="footnote text"/>
    <w:basedOn w:val="Normal"/>
    <w:link w:val="NotedebasdepageCar"/>
    <w:uiPriority w:val="99"/>
    <w:semiHidden/>
    <w:unhideWhenUsed/>
    <w:rsid w:val="00FC7263"/>
    <w:pPr>
      <w:spacing w:after="0" w:line="240" w:lineRule="auto"/>
    </w:pPr>
    <w:rPr>
      <w:sz w:val="20"/>
      <w:szCs w:val="20"/>
    </w:rPr>
  </w:style>
  <w:style w:type="paragraph" w:customStyle="1" w:styleId="Default">
    <w:name w:val="Default"/>
    <w:qFormat/>
    <w:rsid w:val="004661D7"/>
    <w:rPr>
      <w:rFonts w:ascii="Times New Roman" w:hAnsi="Times New Roman" w:cs="Times New Roman"/>
      <w:color w:val="000000"/>
      <w:sz w:val="24"/>
      <w:szCs w:val="24"/>
    </w:rPr>
  </w:style>
  <w:style w:type="paragraph" w:customStyle="1" w:styleId="Contenudecadre">
    <w:name w:val="Contenu de cadre"/>
    <w:basedOn w:val="Normal"/>
    <w:qFormat/>
  </w:style>
  <w:style w:type="paragraph" w:styleId="TM3">
    <w:name w:val="toc 3"/>
    <w:basedOn w:val="Index"/>
  </w:style>
  <w:style w:type="paragraph" w:styleId="TM4">
    <w:name w:val="toc 4"/>
    <w:basedOn w:val="Index"/>
  </w:style>
  <w:style w:type="paragraph" w:styleId="TM5">
    <w:name w:val="toc 5"/>
    <w:basedOn w:val="Index"/>
  </w:style>
  <w:style w:type="paragraph" w:styleId="TM6">
    <w:name w:val="toc 6"/>
    <w:basedOn w:val="Index"/>
  </w:style>
  <w:style w:type="paragraph" w:styleId="TM7">
    <w:name w:val="toc 7"/>
    <w:basedOn w:val="Index"/>
  </w:style>
  <w:style w:type="paragraph" w:styleId="TM8">
    <w:name w:val="toc 8"/>
    <w:basedOn w:val="Index"/>
  </w:style>
  <w:style w:type="paragraph" w:styleId="TM9">
    <w:name w:val="toc 9"/>
    <w:basedOn w:val="Index"/>
  </w:style>
  <w:style w:type="paragraph" w:customStyle="1" w:styleId="En-tteetpieddepage">
    <w:name w:val="En-tête et pied de page"/>
    <w:basedOn w:val="Normal"/>
    <w:qFormat/>
  </w:style>
  <w:style w:type="paragraph" w:styleId="En-tte">
    <w:name w:val="header"/>
    <w:basedOn w:val="En-tteetpieddepage"/>
  </w:style>
  <w:style w:type="paragraph" w:styleId="Pieddepage">
    <w:name w:val="footer"/>
    <w:basedOn w:val="En-tteetpieddepage"/>
  </w:style>
  <w:style w:type="table" w:customStyle="1" w:styleId="TableGrid">
    <w:name w:val="TableGrid"/>
    <w:tblPr>
      <w:tblCellMar>
        <w:top w:w="0" w:type="dxa"/>
        <w:left w:w="0" w:type="dxa"/>
        <w:bottom w:w="0" w:type="dxa"/>
        <w:right w:w="0" w:type="dxa"/>
      </w:tblCellMar>
    </w:tblPr>
  </w:style>
  <w:style w:type="table" w:styleId="Grilledutableau">
    <w:name w:val="Table Grid"/>
    <w:basedOn w:val="TableauNormal"/>
    <w:uiPriority w:val="39"/>
    <w:rsid w:val="00386AD1"/>
    <w:rPr>
      <w:sz w:val="24"/>
      <w:szCs w:val="24"/>
      <w:lang w:eastAsia="ja-JP"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uiPriority w:val="39"/>
    <w:rsid w:val="00101D81"/>
    <w:rPr>
      <w:sz w:val="24"/>
      <w:szCs w:val="24"/>
      <w:lang w:eastAsia="ja-JP"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uiPriority w:val="39"/>
    <w:rsid w:val="00D407A0"/>
    <w:rPr>
      <w:sz w:val="24"/>
      <w:szCs w:val="24"/>
      <w:lang w:eastAsia="ja-JP"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www.marches-publics.gouv.fr/" TargetMode="External"/><Relationship Id="rId117" Type="http://schemas.openxmlformats.org/officeDocument/2006/relationships/hyperlink" Target="https://www.economie.gouv.fr/daj/formulaires-mise-a-jour-formulaire-declaration-sous-traitance-dans-marches-publics" TargetMode="External"/><Relationship Id="rId21" Type="http://schemas.openxmlformats.org/officeDocument/2006/relationships/hyperlink" Target="https://www.marches-publics.gouv.fr/" TargetMode="External"/><Relationship Id="rId42" Type="http://schemas.openxmlformats.org/officeDocument/2006/relationships/hyperlink" Target="mailto:vincent.paque@intradef.gouv.fr" TargetMode="External"/><Relationship Id="rId47" Type="http://schemas.openxmlformats.org/officeDocument/2006/relationships/hyperlink" Target="https://dume.chorus-pro.gouv.fr/" TargetMode="External"/><Relationship Id="rId63" Type="http://schemas.openxmlformats.org/officeDocument/2006/relationships/hyperlink" Target="https://www.economie.gouv.fr/daj/formulaires-mise-a-jour-formulaire-declaration-sous-traitance-dans-marches-publics" TargetMode="External"/><Relationship Id="rId68" Type="http://schemas.openxmlformats.org/officeDocument/2006/relationships/hyperlink" Target="https://www.economie.gouv.fr/daj/formulaires-mise-a-jour-formulaire-declaration-sous-traitance-dans-marches-publics" TargetMode="External"/><Relationship Id="rId84" Type="http://schemas.openxmlformats.org/officeDocument/2006/relationships/hyperlink" Target="https://www.economie.gouv.fr/daj/formulaires-declaration-du-candidat" TargetMode="External"/><Relationship Id="rId89" Type="http://schemas.openxmlformats.org/officeDocument/2006/relationships/hyperlink" Target="https://www.economie.gouv.fr/daj/formulaires-declaration-du-candidat" TargetMode="External"/><Relationship Id="rId112" Type="http://schemas.openxmlformats.org/officeDocument/2006/relationships/hyperlink" Target="https://www.economie.gouv.fr/dae/bourse-a-cotraitance-service-pour-aider-entreprises" TargetMode="External"/><Relationship Id="rId133" Type="http://schemas.openxmlformats.org/officeDocument/2006/relationships/hyperlink" Target="https://www.economie.gouv.fr/daj/formulaires-mise-a-jour-formulaire-declaration-sous-traitance-dans-marches-publics" TargetMode="External"/><Relationship Id="rId138" Type="http://schemas.openxmlformats.org/officeDocument/2006/relationships/hyperlink" Target="https://www.legifrance.gouv.fr/codes/article_lc/LEGIARTI000006903732/" TargetMode="External"/><Relationship Id="rId154" Type="http://schemas.openxmlformats.org/officeDocument/2006/relationships/header" Target="header2.xml"/><Relationship Id="rId159" Type="http://schemas.openxmlformats.org/officeDocument/2006/relationships/fontTable" Target="fontTable.xml"/><Relationship Id="rId16" Type="http://schemas.openxmlformats.org/officeDocument/2006/relationships/hyperlink" Target="https://www.legifrance.gouv.fr/codes/article_lc/LEGIARTI000037703468" TargetMode="External"/><Relationship Id="rId107" Type="http://schemas.openxmlformats.org/officeDocument/2006/relationships/hyperlink" Target="https://www.economie.gouv.fr/dae/bourse-a-cotraitance-service-pour-aider-entreprises" TargetMode="External"/><Relationship Id="rId11" Type="http://schemas.openxmlformats.org/officeDocument/2006/relationships/hyperlink" Target="https://www.marches-publics.gouv.fr/entreprise" TargetMode="External"/><Relationship Id="rId32" Type="http://schemas.openxmlformats.org/officeDocument/2006/relationships/hyperlink" Target="https://www.marches-publics.gouv.fr/" TargetMode="External"/><Relationship Id="rId37" Type="http://schemas.openxmlformats.org/officeDocument/2006/relationships/hyperlink" Target="https://www.marches-publics.gouv.fr/" TargetMode="External"/><Relationship Id="rId53" Type="http://schemas.openxmlformats.org/officeDocument/2006/relationships/hyperlink" Target="https://communaute.chorus-pro.gouv.fr/pour-les-entreprises/" TargetMode="External"/><Relationship Id="rId58" Type="http://schemas.openxmlformats.org/officeDocument/2006/relationships/hyperlink" Target="https://www.economie.gouv.fr/daj/formulaires-mise-a-jour-formulaire-declaration-sous-traitance-dans-marches-publics" TargetMode="External"/><Relationship Id="rId74" Type="http://schemas.openxmlformats.org/officeDocument/2006/relationships/hyperlink" Target="https://www.economie.gouv.fr/daj/formulaires-mise-a-jour-formulaire-declaration-sous-traitance-dans-marches-publics" TargetMode="External"/><Relationship Id="rId79" Type="http://schemas.openxmlformats.org/officeDocument/2006/relationships/hyperlink" Target="https://www.economie.gouv.fr/daj/formulaires-declaration-du-candidat" TargetMode="External"/><Relationship Id="rId102" Type="http://schemas.openxmlformats.org/officeDocument/2006/relationships/hyperlink" Target="https://www.economie.gouv.fr/dae/bourse-a-cotraitance-service-pour-aider-entreprises" TargetMode="External"/><Relationship Id="rId123" Type="http://schemas.openxmlformats.org/officeDocument/2006/relationships/hyperlink" Target="https://www.economie.gouv.fr/daj/formulaires-mise-a-jour-formulaire-declaration-sous-traitance-dans-marches-publics" TargetMode="External"/><Relationship Id="rId128" Type="http://schemas.openxmlformats.org/officeDocument/2006/relationships/hyperlink" Target="https://www.economie.gouv.fr/daj/formulaires-mise-a-jour-formulaire-declaration-sous-traitance-dans-marches-publics" TargetMode="External"/><Relationship Id="rId144" Type="http://schemas.openxmlformats.org/officeDocument/2006/relationships/hyperlink" Target="https://www.legifrance.gouv.fr/codes/article_lc/LEGIARTI000006903732" TargetMode="External"/><Relationship Id="rId149" Type="http://schemas.openxmlformats.org/officeDocument/2006/relationships/hyperlink" Target="https://www.conseil-etat.fr/decisions-de-justice/jurisprudence/les-grandes-decisions-depuis-1873/conseil-d-etat-4-avril-2014-departement-de-tarn-et-garonne" TargetMode="External"/><Relationship Id="rId5" Type="http://schemas.openxmlformats.org/officeDocument/2006/relationships/webSettings" Target="webSettings.xml"/><Relationship Id="rId90" Type="http://schemas.openxmlformats.org/officeDocument/2006/relationships/hyperlink" Target="https://www.economie.gouv.fr/daj/formulaires-declaration-du-candidat" TargetMode="External"/><Relationship Id="rId95" Type="http://schemas.openxmlformats.org/officeDocument/2006/relationships/hyperlink" Target="https://www.marches-publics.gouv.fr/docs/outils-esr-2017/place/Bourse_cotraitance_mode_emploi6.pdf" TargetMode="External"/><Relationship Id="rId160" Type="http://schemas.openxmlformats.org/officeDocument/2006/relationships/theme" Target="theme/theme1.xml"/><Relationship Id="rId22" Type="http://schemas.openxmlformats.org/officeDocument/2006/relationships/hyperlink" Target="https://www.marches-publics.gouv.fr/" TargetMode="External"/><Relationship Id="rId27" Type="http://schemas.openxmlformats.org/officeDocument/2006/relationships/hyperlink" Target="https://www.marches-publics.gouv.fr/" TargetMode="External"/><Relationship Id="rId43" Type="http://schemas.openxmlformats.org/officeDocument/2006/relationships/hyperlink" Target="mailto:frederic.rizzo@intradef.gouv.fr" TargetMode="External"/><Relationship Id="rId48" Type="http://schemas.openxmlformats.org/officeDocument/2006/relationships/hyperlink" Target="https://dume.chorus-pro.gouv.fr/" TargetMode="External"/><Relationship Id="rId64" Type="http://schemas.openxmlformats.org/officeDocument/2006/relationships/hyperlink" Target="https://www.economie.gouv.fr/daj/formulaires-mise-a-jour-formulaire-declaration-sous-traitance-dans-marches-publics" TargetMode="External"/><Relationship Id="rId69" Type="http://schemas.openxmlformats.org/officeDocument/2006/relationships/hyperlink" Target="https://www.economie.gouv.fr/daj/formulaires-mise-a-jour-formulaire-declaration-sous-traitance-dans-marches-publics" TargetMode="External"/><Relationship Id="rId113" Type="http://schemas.openxmlformats.org/officeDocument/2006/relationships/hyperlink" Target="https://www.economie.gouv.fr/dae/bourse-a-cotraitance-service-pour-aider-entreprises" TargetMode="External"/><Relationship Id="rId118" Type="http://schemas.openxmlformats.org/officeDocument/2006/relationships/hyperlink" Target="https://www.economie.gouv.fr/daj/formulaires-mise-a-jour-formulaire-declaration-sous-traitance-dans-marches-publics" TargetMode="External"/><Relationship Id="rId134" Type="http://schemas.openxmlformats.org/officeDocument/2006/relationships/hyperlink" Target="https://www.economie.gouv.fr/daj/formulaires-mise-a-jour-formulaire-declaration-sous-traitance-dans-marches-publics" TargetMode="External"/><Relationship Id="rId139" Type="http://schemas.openxmlformats.org/officeDocument/2006/relationships/hyperlink" Target="https://www.legifrance.gouv.fr/codes/article_lc/LEGIARTI000037728909" TargetMode="External"/><Relationship Id="rId80" Type="http://schemas.openxmlformats.org/officeDocument/2006/relationships/hyperlink" Target="https://www.economie.gouv.fr/daj/formulaires-declaration-du-candidat" TargetMode="External"/><Relationship Id="rId85" Type="http://schemas.openxmlformats.org/officeDocument/2006/relationships/hyperlink" Target="https://www.economie.gouv.fr/daj/formulaires-declaration-du-candidat" TargetMode="External"/><Relationship Id="rId150" Type="http://schemas.openxmlformats.org/officeDocument/2006/relationships/hyperlink" Target="https://www.legifrance.gouv.fr/codes/section_lc/LEGITEXT000006070933/LEGISCTA000006136478/" TargetMode="External"/><Relationship Id="rId155" Type="http://schemas.openxmlformats.org/officeDocument/2006/relationships/footer" Target="footer1.xml"/><Relationship Id="rId12" Type="http://schemas.openxmlformats.org/officeDocument/2006/relationships/hyperlink" Target="mailto:frederic.rizzo@intradef.gouv.fr" TargetMode="External"/><Relationship Id="rId17" Type="http://schemas.openxmlformats.org/officeDocument/2006/relationships/hyperlink" Target="https://www.legifrance.gouv.fr/codes/article_lc/LEGIARTI000037703470" TargetMode="External"/><Relationship Id="rId33" Type="http://schemas.openxmlformats.org/officeDocument/2006/relationships/hyperlink" Target="https://www.marches-publics.gouv.fr/" TargetMode="External"/><Relationship Id="rId38" Type="http://schemas.openxmlformats.org/officeDocument/2006/relationships/hyperlink" Target="https://www.marches-publics.gouv.fr/" TargetMode="External"/><Relationship Id="rId59" Type="http://schemas.openxmlformats.org/officeDocument/2006/relationships/hyperlink" Target="https://www.economie.gouv.fr/daj/formulaires-mise-a-jour-formulaire-declaration-sous-traitance-dans-marches-publics" TargetMode="External"/><Relationship Id="rId103" Type="http://schemas.openxmlformats.org/officeDocument/2006/relationships/hyperlink" Target="https://www.economie.gouv.fr/dae/bourse-a-cotraitance-service-pour-aider-entreprises" TargetMode="External"/><Relationship Id="rId108" Type="http://schemas.openxmlformats.org/officeDocument/2006/relationships/hyperlink" Target="https://www.economie.gouv.fr/dae/bourse-a-cotraitance-service-pour-aider-entreprises" TargetMode="External"/><Relationship Id="rId124" Type="http://schemas.openxmlformats.org/officeDocument/2006/relationships/hyperlink" Target="https://www.economie.gouv.fr/daj/formulaires-mise-a-jour-formulaire-declaration-sous-traitance-dans-marches-publics" TargetMode="External"/><Relationship Id="rId129" Type="http://schemas.openxmlformats.org/officeDocument/2006/relationships/hyperlink" Target="https://www.economie.gouv.fr/daj/formulaires-mise-a-jour-formulaire-declaration-sous-traitance-dans-marches-publics" TargetMode="External"/><Relationship Id="rId20" Type="http://schemas.openxmlformats.org/officeDocument/2006/relationships/hyperlink" Target="https://www.cnil.fr/fr/reglement-europeen-protection-donnees/chapitre2" TargetMode="External"/><Relationship Id="rId41" Type="http://schemas.openxmlformats.org/officeDocument/2006/relationships/hyperlink" Target="mailto:frederic.rizzo@intradef.gouv.fr" TargetMode="External"/><Relationship Id="rId54" Type="http://schemas.openxmlformats.org/officeDocument/2006/relationships/hyperlink" Target="https://communaute.chorus-pro.gouv.fr/pour-les-entreprises/" TargetMode="External"/><Relationship Id="rId62" Type="http://schemas.openxmlformats.org/officeDocument/2006/relationships/hyperlink" Target="https://www.economie.gouv.fr/daj/formulaires-mise-a-jour-formulaire-declaration-sous-traitance-dans-marches-publics" TargetMode="External"/><Relationship Id="rId70" Type="http://schemas.openxmlformats.org/officeDocument/2006/relationships/hyperlink" Target="https://www.economie.gouv.fr/daj/formulaires-mise-a-jour-formulaire-declaration-sous-traitance-dans-marches-publics" TargetMode="External"/><Relationship Id="rId75" Type="http://schemas.openxmlformats.org/officeDocument/2006/relationships/hyperlink" Target="https://www.economie.gouv.fr/daj/formulaires-mise-a-jour-formulaire-declaration-sous-traitance-dans-marches-publics" TargetMode="External"/><Relationship Id="rId83" Type="http://schemas.openxmlformats.org/officeDocument/2006/relationships/hyperlink" Target="https://www.economie.gouv.fr/daj/formulaires-declaration-du-candidat" TargetMode="External"/><Relationship Id="rId88" Type="http://schemas.openxmlformats.org/officeDocument/2006/relationships/hyperlink" Target="https://www.economie.gouv.fr/daj/formulaires-declaration-du-candidat" TargetMode="External"/><Relationship Id="rId91" Type="http://schemas.openxmlformats.org/officeDocument/2006/relationships/hyperlink" Target="https://www.economie.gouv.fr/daj/formulaires-declaration-du-candidat" TargetMode="External"/><Relationship Id="rId96" Type="http://schemas.openxmlformats.org/officeDocument/2006/relationships/hyperlink" Target="https://www.marches-publics.gouv.fr/docs/outils-esr-2017/place/Bourse_cotraitance_mode_emploi6.pdf" TargetMode="External"/><Relationship Id="rId111" Type="http://schemas.openxmlformats.org/officeDocument/2006/relationships/hyperlink" Target="https://www.economie.gouv.fr/dae/bourse-a-cotraitance-service-pour-aider-entreprises" TargetMode="External"/><Relationship Id="rId132" Type="http://schemas.openxmlformats.org/officeDocument/2006/relationships/hyperlink" Target="https://www.economie.gouv.fr/daj/formulaires-mise-a-jour-formulaire-declaration-sous-traitance-dans-marches-publics" TargetMode="External"/><Relationship Id="rId140" Type="http://schemas.openxmlformats.org/officeDocument/2006/relationships/hyperlink" Target="https://www.legifrance.gouv.fr/codes/section_lc/LEGITEXT000037701019/LEGISCTA000037703587/" TargetMode="External"/><Relationship Id="rId145" Type="http://schemas.openxmlformats.org/officeDocument/2006/relationships/hyperlink" Target="https://www.legifrance.gouv.fr/codes/article_lc/LEGIARTI000049049590" TargetMode="External"/><Relationship Id="rId15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france.gouv.fr/codes/article_lc/LEGIARTI000037704135" TargetMode="External"/><Relationship Id="rId23" Type="http://schemas.openxmlformats.org/officeDocument/2006/relationships/hyperlink" Target="https://www.marches-publics.gouv.fr/" TargetMode="External"/><Relationship Id="rId28" Type="http://schemas.openxmlformats.org/officeDocument/2006/relationships/hyperlink" Target="https://www.legifrance.gouv.fr/codes/article_lc/LEGIARTI000037728837" TargetMode="External"/><Relationship Id="rId36" Type="http://schemas.openxmlformats.org/officeDocument/2006/relationships/hyperlink" Target="https://www.marches-publics.gouv.fr/" TargetMode="External"/><Relationship Id="rId49" Type="http://schemas.openxmlformats.org/officeDocument/2006/relationships/hyperlink" Target="https://communaute.chorus-pro.gouv.fr/pour-les-entreprises/" TargetMode="External"/><Relationship Id="rId57" Type="http://schemas.openxmlformats.org/officeDocument/2006/relationships/hyperlink" Target="https://www.economie.gouv.fr/daj/formulaires-mise-a-jour-formulaire-declaration-sous-traitance-dans-marches-publics" TargetMode="External"/><Relationship Id="rId106" Type="http://schemas.openxmlformats.org/officeDocument/2006/relationships/hyperlink" Target="https://www.economie.gouv.fr/dae/bourse-a-cotraitance-service-pour-aider-entreprises" TargetMode="External"/><Relationship Id="rId114" Type="http://schemas.openxmlformats.org/officeDocument/2006/relationships/hyperlink" Target="https://www.economie.gouv.fr/dae/bourse-a-cotraitance-service-pour-aider-entreprises" TargetMode="External"/><Relationship Id="rId119" Type="http://schemas.openxmlformats.org/officeDocument/2006/relationships/hyperlink" Target="https://www.economie.gouv.fr/daj/formulaires-mise-a-jour-formulaire-declaration-sous-traitance-dans-marches-publics" TargetMode="External"/><Relationship Id="rId127" Type="http://schemas.openxmlformats.org/officeDocument/2006/relationships/hyperlink" Target="https://www.economie.gouv.fr/daj/formulaires-mise-a-jour-formulaire-declaration-sous-traitance-dans-marches-publics" TargetMode="External"/><Relationship Id="rId10" Type="http://schemas.openxmlformats.org/officeDocument/2006/relationships/image" Target="media/image3.png"/><Relationship Id="rId31" Type="http://schemas.openxmlformats.org/officeDocument/2006/relationships/hyperlink" Target="https://www.marches-publics.gouv.fr/" TargetMode="External"/><Relationship Id="rId44" Type="http://schemas.openxmlformats.org/officeDocument/2006/relationships/hyperlink" Target="mailto:csta-ba-infra.contact.fct@intradef.gouv.fr" TargetMode="External"/><Relationship Id="rId52" Type="http://schemas.openxmlformats.org/officeDocument/2006/relationships/hyperlink" Target="https://communaute.chorus-pro.gouv.fr/pour-les-entreprises/" TargetMode="External"/><Relationship Id="rId60" Type="http://schemas.openxmlformats.org/officeDocument/2006/relationships/hyperlink" Target="https://www.economie.gouv.fr/daj/formulaires-mise-a-jour-formulaire-declaration-sous-traitance-dans-marches-publics" TargetMode="External"/><Relationship Id="rId65" Type="http://schemas.openxmlformats.org/officeDocument/2006/relationships/hyperlink" Target="https://www.economie.gouv.fr/daj/formulaires-mise-a-jour-formulaire-declaration-sous-traitance-dans-marches-publics" TargetMode="External"/><Relationship Id="rId73" Type="http://schemas.openxmlformats.org/officeDocument/2006/relationships/hyperlink" Target="https://www.economie.gouv.fr/daj/formulaires-mise-a-jour-formulaire-declaration-sous-traitance-dans-marches-publics" TargetMode="External"/><Relationship Id="rId78" Type="http://schemas.openxmlformats.org/officeDocument/2006/relationships/hyperlink" Target="https://www.economie.gouv.fr/daj/formulaires-declaration-du-candidat" TargetMode="External"/><Relationship Id="rId81" Type="http://schemas.openxmlformats.org/officeDocument/2006/relationships/hyperlink" Target="https://www.economie.gouv.fr/daj/formulaires-declaration-du-candidat" TargetMode="External"/><Relationship Id="rId86" Type="http://schemas.openxmlformats.org/officeDocument/2006/relationships/hyperlink" Target="https://www.economie.gouv.fr/daj/formulaires-declaration-du-candidat" TargetMode="External"/><Relationship Id="rId94" Type="http://schemas.openxmlformats.org/officeDocument/2006/relationships/hyperlink" Target="https://www.marches-publics.gouv.fr/docs/outils-esr-2017/place/Bourse_cotraitance_mode_emploi6.pdf" TargetMode="External"/><Relationship Id="rId99" Type="http://schemas.openxmlformats.org/officeDocument/2006/relationships/hyperlink" Target="https://www.marches-publics.gouv.fr/docs/outils-esr-2017/place/Bourse_cotraitance_mode_emploi6.pdf" TargetMode="External"/><Relationship Id="rId101" Type="http://schemas.openxmlformats.org/officeDocument/2006/relationships/hyperlink" Target="https://www.economie.gouv.fr/dae/bourse-a-cotraitance-service-pour-aider-entreprises" TargetMode="External"/><Relationship Id="rId122" Type="http://schemas.openxmlformats.org/officeDocument/2006/relationships/hyperlink" Target="https://www.economie.gouv.fr/daj/formulaires-mise-a-jour-formulaire-declaration-sous-traitance-dans-marches-publics" TargetMode="External"/><Relationship Id="rId130" Type="http://schemas.openxmlformats.org/officeDocument/2006/relationships/hyperlink" Target="https://www.economie.gouv.fr/daj/formulaires-mise-a-jour-formulaire-declaration-sous-traitance-dans-marches-publics" TargetMode="External"/><Relationship Id="rId135" Type="http://schemas.openxmlformats.org/officeDocument/2006/relationships/hyperlink" Target="https://www.economie.gouv.fr/daj/formulaires-mise-a-jour-formulaire-declaration-sous-traitance-dans-marches-publics" TargetMode="External"/><Relationship Id="rId143" Type="http://schemas.openxmlformats.org/officeDocument/2006/relationships/hyperlink" Target="https://www.legifrance.gouv.fr/codes/section_lc/LEGITEXT000037701019/LEGISCTA000037724687/" TargetMode="External"/><Relationship Id="rId148" Type="http://schemas.openxmlformats.org/officeDocument/2006/relationships/hyperlink" Target="https://www.legifrance.gouv.fr/codes/article_lc/LEGIARTI000020602079" TargetMode="External"/><Relationship Id="rId151" Type="http://schemas.openxmlformats.org/officeDocument/2006/relationships/hyperlink" Target="https://www.legifrance.gouv.fr/loda/id/JORFTEXT000038318621" TargetMode="External"/><Relationship Id="rId156"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mailto:csta-ba-infra.contact.fct@intradef.gouv.fr" TargetMode="External"/><Relationship Id="rId18" Type="http://schemas.openxmlformats.org/officeDocument/2006/relationships/hyperlink" Target="https://eur-lex.europa.eu/legal-content/FR/TXT/?uri=CELEX:32016R0679" TargetMode="External"/><Relationship Id="rId39" Type="http://schemas.openxmlformats.org/officeDocument/2006/relationships/hyperlink" Target="https://www.legifrance.gouv.fr/codes/article_lc/LEGIARTI000037729923" TargetMode="External"/><Relationship Id="rId109" Type="http://schemas.openxmlformats.org/officeDocument/2006/relationships/hyperlink" Target="https://www.economie.gouv.fr/dae/bourse-a-cotraitance-service-pour-aider-entreprises" TargetMode="External"/><Relationship Id="rId34" Type="http://schemas.openxmlformats.org/officeDocument/2006/relationships/hyperlink" Target="https://www.legifrance.gouv.fr/codes/article_lc/LEGIARTI000037730533" TargetMode="External"/><Relationship Id="rId50" Type="http://schemas.openxmlformats.org/officeDocument/2006/relationships/hyperlink" Target="https://communaute.chorus-pro.gouv.fr/pour-les-entreprises/" TargetMode="External"/><Relationship Id="rId55" Type="http://schemas.openxmlformats.org/officeDocument/2006/relationships/hyperlink" Target="https://communaute.chorus-pro.gouv.fr/pour-les-entreprises/" TargetMode="External"/><Relationship Id="rId76" Type="http://schemas.openxmlformats.org/officeDocument/2006/relationships/hyperlink" Target="https://www.economie.gouv.fr/daj/formulaires-mise-a-jour-formulaire-declaration-sous-traitance-dans-marches-publics" TargetMode="External"/><Relationship Id="rId97" Type="http://schemas.openxmlformats.org/officeDocument/2006/relationships/hyperlink" Target="https://www.marches-publics.gouv.fr/docs/outils-esr-2017/place/Bourse_cotraitance_mode_emploi6.pdf" TargetMode="External"/><Relationship Id="rId104" Type="http://schemas.openxmlformats.org/officeDocument/2006/relationships/hyperlink" Target="https://www.economie.gouv.fr/dae/bourse-a-cotraitance-service-pour-aider-entreprises" TargetMode="External"/><Relationship Id="rId120" Type="http://schemas.openxmlformats.org/officeDocument/2006/relationships/hyperlink" Target="https://www.economie.gouv.fr/daj/formulaires-mise-a-jour-formulaire-declaration-sous-traitance-dans-marches-publics" TargetMode="External"/><Relationship Id="rId125" Type="http://schemas.openxmlformats.org/officeDocument/2006/relationships/hyperlink" Target="https://www.economie.gouv.fr/daj/formulaires-mise-a-jour-formulaire-declaration-sous-traitance-dans-marches-publics" TargetMode="External"/><Relationship Id="rId141" Type="http://schemas.openxmlformats.org/officeDocument/2006/relationships/hyperlink" Target="https://www.legifrance.gouv.fr/codes/article_lc/LEGIARTI000043969327" TargetMode="External"/><Relationship Id="rId146" Type="http://schemas.openxmlformats.org/officeDocument/2006/relationships/hyperlink" Target="https://www.legifrance.gouv.fr/codes/article_lc/LEGIARTI000031068493" TargetMode="External"/><Relationship Id="rId7" Type="http://schemas.openxmlformats.org/officeDocument/2006/relationships/endnotes" Target="endnotes.xml"/><Relationship Id="rId71" Type="http://schemas.openxmlformats.org/officeDocument/2006/relationships/hyperlink" Target="https://www.economie.gouv.fr/daj/formulaires-mise-a-jour-formulaire-declaration-sous-traitance-dans-marches-publics" TargetMode="External"/><Relationship Id="rId92" Type="http://schemas.openxmlformats.org/officeDocument/2006/relationships/hyperlink" Target="https://www.economie.gouv.fr/daj/formulaires-declaration-du-candidat" TargetMode="External"/><Relationship Id="rId2" Type="http://schemas.openxmlformats.org/officeDocument/2006/relationships/numbering" Target="numbering.xml"/><Relationship Id="rId29" Type="http://schemas.openxmlformats.org/officeDocument/2006/relationships/hyperlink" Target="https://www.legifrance.gouv.fr/codes/article_lc/LEGIARTI000037730539" TargetMode="External"/><Relationship Id="rId24" Type="http://schemas.openxmlformats.org/officeDocument/2006/relationships/hyperlink" Target="https://www.marches-publics.gouv.fr/" TargetMode="External"/><Relationship Id="rId40" Type="http://schemas.openxmlformats.org/officeDocument/2006/relationships/hyperlink" Target="https://www.legifrance.gouv.fr/loda/id/JORFTEXT000038318621" TargetMode="External"/><Relationship Id="rId45" Type="http://schemas.openxmlformats.org/officeDocument/2006/relationships/hyperlink" Target="https://dume.chorus-pro.gouv.fr/" TargetMode="External"/><Relationship Id="rId66" Type="http://schemas.openxmlformats.org/officeDocument/2006/relationships/hyperlink" Target="https://www.economie.gouv.fr/daj/formulaires-mise-a-jour-formulaire-declaration-sous-traitance-dans-marches-publics" TargetMode="External"/><Relationship Id="rId87" Type="http://schemas.openxmlformats.org/officeDocument/2006/relationships/hyperlink" Target="https://www.economie.gouv.fr/daj/formulaires-declaration-du-candidat" TargetMode="External"/><Relationship Id="rId110" Type="http://schemas.openxmlformats.org/officeDocument/2006/relationships/hyperlink" Target="https://www.economie.gouv.fr/dae/bourse-a-cotraitance-service-pour-aider-entreprises" TargetMode="External"/><Relationship Id="rId115" Type="http://schemas.openxmlformats.org/officeDocument/2006/relationships/hyperlink" Target="https://www.economie.gouv.fr/daj/formulaires-mise-a-jour-formulaire-declaration-sous-traitance-dans-marches-publics" TargetMode="External"/><Relationship Id="rId131" Type="http://schemas.openxmlformats.org/officeDocument/2006/relationships/hyperlink" Target="https://www.economie.gouv.fr/daj/formulaires-mise-a-jour-formulaire-declaration-sous-traitance-dans-marches-publics" TargetMode="External"/><Relationship Id="rId136" Type="http://schemas.openxmlformats.org/officeDocument/2006/relationships/hyperlink" Target="https://www.legifrance.gouv.fr/codes/article_lc/LEGIARTI000037704239" TargetMode="External"/><Relationship Id="rId157" Type="http://schemas.openxmlformats.org/officeDocument/2006/relationships/header" Target="header3.xml"/><Relationship Id="rId61" Type="http://schemas.openxmlformats.org/officeDocument/2006/relationships/hyperlink" Target="https://www.economie.gouv.fr/daj/formulaires-mise-a-jour-formulaire-declaration-sous-traitance-dans-marches-publics" TargetMode="External"/><Relationship Id="rId82" Type="http://schemas.openxmlformats.org/officeDocument/2006/relationships/hyperlink" Target="https://www.economie.gouv.fr/daj/formulaires-declaration-du-candidat" TargetMode="External"/><Relationship Id="rId152" Type="http://schemas.openxmlformats.org/officeDocument/2006/relationships/hyperlink" Target="https://eur-lex.europa.eu/legal-content/FR/TXT/PDF/?uri=CELEX:32014R0910" TargetMode="External"/><Relationship Id="rId19" Type="http://schemas.openxmlformats.org/officeDocument/2006/relationships/hyperlink" Target="mailto:le-delegue-a-la-protection-des-donnees-personnelles@finances.gouv.fr" TargetMode="External"/><Relationship Id="rId14" Type="http://schemas.openxmlformats.org/officeDocument/2006/relationships/hyperlink" Target="https://www.legifrance.gouv.fr/loda/id/LEGIARTI000038319372/" TargetMode="External"/><Relationship Id="rId30" Type="http://schemas.openxmlformats.org/officeDocument/2006/relationships/hyperlink" Target="https://www.marches-publics.gouv.fr/" TargetMode="External"/><Relationship Id="rId35" Type="http://schemas.openxmlformats.org/officeDocument/2006/relationships/hyperlink" Target="https://www.marches-publics.gouv.fr/" TargetMode="External"/><Relationship Id="rId56" Type="http://schemas.openxmlformats.org/officeDocument/2006/relationships/hyperlink" Target="https://www.economie.gouv.fr/daj/formulaires-mise-a-jour-formulaire-declaration-sous-traitance-dans-marches-publics" TargetMode="External"/><Relationship Id="rId77" Type="http://schemas.openxmlformats.org/officeDocument/2006/relationships/hyperlink" Target="https://www.economie.gouv.fr/daj/formulaires-declaration-du-candidat" TargetMode="External"/><Relationship Id="rId100" Type="http://schemas.openxmlformats.org/officeDocument/2006/relationships/hyperlink" Target="https://www.marches-publics.gouv.fr/docs/outils-esr-2017/place/Bourse_cotraitance_mode_emploi6.pdf" TargetMode="External"/><Relationship Id="rId105" Type="http://schemas.openxmlformats.org/officeDocument/2006/relationships/hyperlink" Target="https://www.economie.gouv.fr/dae/bourse-a-cotraitance-service-pour-aider-entreprises" TargetMode="External"/><Relationship Id="rId126" Type="http://schemas.openxmlformats.org/officeDocument/2006/relationships/hyperlink" Target="https://www.economie.gouv.fr/daj/formulaires-mise-a-jour-formulaire-declaration-sous-traitance-dans-marches-publics" TargetMode="External"/><Relationship Id="rId147" Type="http://schemas.openxmlformats.org/officeDocument/2006/relationships/hyperlink" Target="https://www.legifrance.gouv.fr/codes/article_lc/LEGIARTI000039807005" TargetMode="External"/><Relationship Id="rId8" Type="http://schemas.openxmlformats.org/officeDocument/2006/relationships/image" Target="media/image1.jpeg"/><Relationship Id="rId51" Type="http://schemas.openxmlformats.org/officeDocument/2006/relationships/hyperlink" Target="https://communaute.chorus-pro.gouv.fr/pour-les-entreprises/" TargetMode="External"/><Relationship Id="rId72" Type="http://schemas.openxmlformats.org/officeDocument/2006/relationships/hyperlink" Target="https://www.economie.gouv.fr/daj/formulaires-mise-a-jour-formulaire-declaration-sous-traitance-dans-marches-publics" TargetMode="External"/><Relationship Id="rId93" Type="http://schemas.openxmlformats.org/officeDocument/2006/relationships/hyperlink" Target="https://www.marches-publics.gouv.fr/docs/outils-esr-2017/place/Bourse_cotraitance_mode_emploi6.pdf" TargetMode="External"/><Relationship Id="rId98" Type="http://schemas.openxmlformats.org/officeDocument/2006/relationships/hyperlink" Target="https://www.marches-publics.gouv.fr/docs/outils-esr-2017/place/Bourse_cotraitance_mode_emploi6.pdf" TargetMode="External"/><Relationship Id="rId121" Type="http://schemas.openxmlformats.org/officeDocument/2006/relationships/hyperlink" Target="https://www.economie.gouv.fr/daj/formulaires-mise-a-jour-formulaire-declaration-sous-traitance-dans-marches-publics" TargetMode="External"/><Relationship Id="rId142" Type="http://schemas.openxmlformats.org/officeDocument/2006/relationships/hyperlink" Target="https://www.legifrance.gouv.fr/codes/article_lc/LEGIARTI000037704365" TargetMode="External"/><Relationship Id="rId3" Type="http://schemas.openxmlformats.org/officeDocument/2006/relationships/styles" Target="styles.xml"/><Relationship Id="rId25" Type="http://schemas.openxmlformats.org/officeDocument/2006/relationships/hyperlink" Target="https://www.marches-publics.gouv.fr/" TargetMode="External"/><Relationship Id="rId46" Type="http://schemas.openxmlformats.org/officeDocument/2006/relationships/hyperlink" Target="https://dume.chorus-pro.gouv.fr/" TargetMode="External"/><Relationship Id="rId67" Type="http://schemas.openxmlformats.org/officeDocument/2006/relationships/hyperlink" Target="https://www.economie.gouv.fr/daj/formulaires-mise-a-jour-formulaire-declaration-sous-traitance-dans-marches-publics" TargetMode="External"/><Relationship Id="rId116" Type="http://schemas.openxmlformats.org/officeDocument/2006/relationships/hyperlink" Target="https://www.economie.gouv.fr/daj/formulaires-mise-a-jour-formulaire-declaration-sous-traitance-dans-marches-publics" TargetMode="External"/><Relationship Id="rId137" Type="http://schemas.openxmlformats.org/officeDocument/2006/relationships/hyperlink" Target="https://www.legifrance.gouv.fr/codes/article_lc/LEGIARTI000037728981" TargetMode="External"/><Relationship Id="rId158"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www.impots.gouv.fr/" TargetMode="External"/><Relationship Id="rId1" Type="http://schemas.openxmlformats.org/officeDocument/2006/relationships/hyperlink" Target="https://mon.urssaf.fr/" TargetMode="Externa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3678A-8C07-4941-A811-4FC0187D5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21</Pages>
  <Words>11150</Words>
  <Characters>61327</Characters>
  <Application>Microsoft Office Word</Application>
  <DocSecurity>0</DocSecurity>
  <Lines>511</Lines>
  <Paragraphs>144</Paragraphs>
  <ScaleCrop>false</ScaleCrop>
  <Company>Ministère des Armées</Company>
  <LinksUpToDate>false</LinksUpToDate>
  <CharactersWithSpaces>72333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PAQUE Vincent ATTACHE ADMI</dc:creator>
  <dc:description/>
  <cp:lastModifiedBy>RIZZO-MAYER Frédéric MAJ</cp:lastModifiedBy>
  <cp:revision>28</cp:revision>
  <cp:lastPrinted>2025-10-01T12:28:00Z</cp:lastPrinted>
  <dcterms:created xsi:type="dcterms:W3CDTF">2026-07-22T09:32:00Z</dcterms:created>
  <dcterms:modified xsi:type="dcterms:W3CDTF">2026-08-14T08:33:00Z</dcterms:modified>
  <dc:language>fr-FR</dc:language>
</cp:coreProperties>
</file>